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PRD Impact Specification</w:t>
      </w:r>
    </w:p>
    <w:p>
      <w:r>
        <w:t>RumahAgen | Internal Learning / Learning Economy | Controlled Downstream Synchronization Artifact</w:t>
      </w:r>
    </w:p>
    <w:p>
      <w:pPr>
        <w:pStyle w:val="Heading1"/>
      </w:pPr>
      <w:r>
        <w:t>1. Purpose</w:t>
      </w:r>
    </w:p>
    <w:p>
      <w:r>
        <w:t>Translate the completed AEP #2 Learning Economy governance, decisions, domain, ERD, schema, payment-integration, API, RBAC and user-flow impacts into product-requirement obligations. This is a PRD impact specification, not a replacement of the canonical PRD and not authorization for implementation.</w:t>
      </w:r>
    </w:p>
    <w:p>
      <w:pPr>
        <w:pStyle w:val="Heading1"/>
      </w:pPr>
      <w:r>
        <w:t>2. Source Basis / Evidence Discipline</w:t>
      </w:r>
    </w:p>
    <w:p>
      <w:pPr>
        <w:pStyle w:val="ListBullet"/>
      </w:pPr>
      <w:r>
        <w:t>AEP #2 Decision Formalization explicitly states that PRD must preserve the Internal-vs-Partnership Learning model and the Pay-to-Accelerate / Never-Pay-to-Pass invariant. fileciteturn38file1</w:t>
      </w:r>
    </w:p>
    <w:p>
      <w:pPr>
        <w:pStyle w:val="ListBullet"/>
      </w:pPr>
      <w:r>
        <w:t>The Learning Economy Domain Architecture establishes Internal Learning Economy versus Partnership Learning boundaries, Learning Point ledger/provenance, Activity, Path/Unlock, Assessment, Skill/Credential and Agent Profile provenance. fileciteturn38file0</w:t>
      </w:r>
    </w:p>
    <w:p>
      <w:pPr>
        <w:pStyle w:val="ListBullet"/>
      </w:pPr>
      <w:r>
        <w:t>The AEP synchronization execution lock requires PRD impact after User Flow and before Engineering/Test within each AEP, while global project-wide technical synchronization remains deferred until AEP #1–#4 are complete. fileciteturn38file18</w:t>
      </w:r>
    </w:p>
    <w:p>
      <w:pPr>
        <w:pStyle w:val="ListBullet"/>
      </w:pPr>
      <w:r>
        <w:t>The current project PRD remains the authoritative product baseline; this artifact defines the delta/requirements that must be reconciled into it. Exact existing PRD wording is not reproduced or invented here.</w:t>
      </w:r>
    </w:p>
    <w:p>
      <w:pPr>
        <w:pStyle w:val="Heading1"/>
      </w:pPr>
      <w:r>
        <w:t>3. Product Vision — Internal Learning Economy</w:t>
      </w:r>
    </w:p>
    <w:p>
      <w:pPr>
        <w:pStyle w:val="ListBullet"/>
      </w:pPr>
      <w:r>
        <w:t>Internal Learning must implement the product principle: Learn for free. Grind to earn. Pay to accelerate. Prove to certify.</w:t>
      </w:r>
    </w:p>
    <w:p>
      <w:pPr>
        <w:pStyle w:val="ListBullet"/>
      </w:pPr>
      <w:r>
        <w:t>Free-to-Learn is a real product path, not merely a marketing label.</w:t>
      </w:r>
    </w:p>
    <w:p>
      <w:pPr>
        <w:pStyle w:val="ListBullet"/>
      </w:pPr>
      <w:r>
        <w:t>Learning Points provide progression/economic utility but are not competency by themselves.</w:t>
      </w:r>
    </w:p>
    <w:p>
      <w:pPr>
        <w:pStyle w:val="ListBullet"/>
      </w:pPr>
      <w:r>
        <w:t>Paid Learning Points accelerate eligible progression but do not purchase competency or assessment results.</w:t>
      </w:r>
    </w:p>
    <w:p>
      <w:pPr>
        <w:pStyle w:val="ListBullet"/>
      </w:pPr>
      <w:r>
        <w:t>Certification/credential outcomes require the applicable evidence and assessment rules.</w:t>
      </w:r>
    </w:p>
    <w:p>
      <w:pPr>
        <w:pStyle w:val="Heading1"/>
      </w:pPr>
      <w:r>
        <w:t>4. PRD Requirement Group — Learning Discovery and Path</w:t>
      </w:r>
    </w:p>
    <w:p>
      <w:pPr>
        <w:pStyle w:val="ListBullet"/>
      </w:pPr>
      <w:r>
        <w:t>PRD shall provide a way for an agent to discover available Internal Learning Programs/Paths.</w:t>
      </w:r>
    </w:p>
    <w:p>
      <w:pPr>
        <w:pStyle w:val="ListBullet"/>
      </w:pPr>
      <w:r>
        <w:t>Each path shall expose enough information for the learner to understand prerequisites, access/unlock requirements, progression and applicable assessment requirements.</w:t>
      </w:r>
    </w:p>
    <w:p>
      <w:pPr>
        <w:pStyle w:val="ListBullet"/>
      </w:pPr>
      <w:r>
        <w:t>Learning Activities shall be represented as extensible activity types rather than a video-only product model.</w:t>
      </w:r>
    </w:p>
    <w:p>
      <w:pPr>
        <w:pStyle w:val="ListBullet"/>
      </w:pPr>
      <w:r>
        <w:t>The product shall distinguish content/activity completion from progression and competency.</w:t>
      </w:r>
    </w:p>
    <w:p>
      <w:pPr>
        <w:pStyle w:val="ListBullet"/>
      </w:pPr>
      <w:r>
        <w:t>Where a path has a genuine free progression route, the product shall not force point purchase.</w:t>
      </w:r>
    </w:p>
    <w:p>
      <w:pPr>
        <w:pStyle w:val="Heading1"/>
      </w:pPr>
      <w:r>
        <w:t>5. PRD Requirement Group — Learning Points</w:t>
      </w:r>
    </w:p>
    <w:p>
      <w:pPr>
        <w:pStyle w:val="ListBullet"/>
      </w:pPr>
      <w:r>
        <w:t>The product shall expose the learner's Learning Point balance/account.</w:t>
      </w:r>
    </w:p>
    <w:p>
      <w:pPr>
        <w:pStyle w:val="ListBullet"/>
      </w:pPr>
      <w:r>
        <w:t>The product shall expose Learning Point transaction history at an appropriate user-facing detail level.</w:t>
      </w:r>
    </w:p>
    <w:p>
      <w:pPr>
        <w:pStyle w:val="ListBullet"/>
      </w:pPr>
      <w:r>
        <w:t>Earned and Purchased Learning Points shall be distinguishable in the product experience.</w:t>
      </w:r>
    </w:p>
    <w:p>
      <w:pPr>
        <w:pStyle w:val="ListBullet"/>
      </w:pPr>
      <w:r>
        <w:t>The product shall provide meaningful provenance/context for point transactions without exposing sensitive internal payment/provider information.</w:t>
      </w:r>
    </w:p>
    <w:p>
      <w:pPr>
        <w:pStyle w:val="ListBullet"/>
      </w:pPr>
      <w:r>
        <w:t>The product shall not provide ordinary learners a direct balance-edit operation.</w:t>
      </w:r>
    </w:p>
    <w:p>
      <w:pPr>
        <w:pStyle w:val="ListBullet"/>
      </w:pPr>
      <w:r>
        <w:t>Learning Point history shall remain consistent with the transaction/ledger model.</w:t>
      </w:r>
    </w:p>
    <w:p>
      <w:pPr>
        <w:pStyle w:val="Heading1"/>
      </w:pPr>
      <w:r>
        <w:t>6. PRD Requirement Group — Earn Through Learning</w:t>
      </w:r>
    </w:p>
    <w:p>
      <w:pPr>
        <w:pStyle w:val="ListBullet"/>
      </w:pPr>
      <w:r>
        <w:t>Eligible Learning Activity completion may earn Learning Points when configured.</w:t>
      </w:r>
    </w:p>
    <w:p>
      <w:pPr>
        <w:pStyle w:val="ListBullet"/>
      </w:pPr>
      <w:r>
        <w:t>The product shall communicate when an activity has an LP reward and the applicable earning condition where appropriate.</w:t>
      </w:r>
    </w:p>
    <w:p>
      <w:pPr>
        <w:pStyle w:val="ListBullet"/>
      </w:pPr>
      <w:r>
        <w:t>Completion validation shall precede official reward issuance.</w:t>
      </w:r>
    </w:p>
    <w:p>
      <w:pPr>
        <w:pStyle w:val="ListBullet"/>
      </w:pPr>
      <w:r>
        <w:t>Invalid/incomplete completion evidence shall not silently create an earned-point outcome.</w:t>
      </w:r>
    </w:p>
    <w:p>
      <w:pPr>
        <w:pStyle w:val="ListBullet"/>
      </w:pPr>
      <w:r>
        <w:t>The product shall preserve the distinction between completing an activity and receiving a point transaction.</w:t>
      </w:r>
    </w:p>
    <w:p>
      <w:pPr>
        <w:pStyle w:val="Heading1"/>
      </w:pPr>
      <w:r>
        <w:t>7. PRD Requirement Group — Pay to Accelerate</w:t>
      </w:r>
    </w:p>
    <w:p>
      <w:pPr>
        <w:pStyle w:val="ListBullet"/>
      </w:pPr>
      <w:r>
        <w:t>The product may offer purchase of Learning Points as an acceleration mechanism.</w:t>
      </w:r>
    </w:p>
    <w:p>
      <w:pPr>
        <w:pStyle w:val="ListBullet"/>
      </w:pPr>
      <w:r>
        <w:t>The purchase experience shall clearly communicate that purchased points accelerate progression and do not constitute competency.</w:t>
      </w:r>
    </w:p>
    <w:p>
      <w:pPr>
        <w:pStyle w:val="ListBullet"/>
      </w:pPr>
      <w:r>
        <w:t>Only a verified confirmed commercial payment may result in confirmed Purchased Learning Points.</w:t>
      </w:r>
    </w:p>
    <w:p>
      <w:pPr>
        <w:pStyle w:val="ListBullet"/>
      </w:pPr>
      <w:r>
        <w:t>Purchased points shall be reflected with Purchased provenance.</w:t>
      </w:r>
    </w:p>
    <w:p>
      <w:pPr>
        <w:pStyle w:val="ListBullet"/>
      </w:pPr>
      <w:r>
        <w:t>A payment retry/callback must not create duplicate economic benefit.</w:t>
      </w:r>
    </w:p>
    <w:p>
      <w:pPr>
        <w:pStyle w:val="ListBullet"/>
      </w:pPr>
      <w:r>
        <w:t>The product shall not present purchased points as a shortcut that bypasses a mandatory assessment.</w:t>
      </w:r>
    </w:p>
    <w:p>
      <w:pPr>
        <w:pStyle w:val="Heading1"/>
      </w:pPr>
      <w:r>
        <w:t>8. PRD Requirement Group — Assessment and Certification</w:t>
      </w:r>
    </w:p>
    <w:p>
      <w:pPr>
        <w:pStyle w:val="ListBullet"/>
      </w:pPr>
      <w:r>
        <w:t>Where an applicable path/rule requires assessment, the product shall route the learner to the assessment gate.</w:t>
      </w:r>
    </w:p>
    <w:p>
      <w:pPr>
        <w:pStyle w:val="ListBullet"/>
      </w:pPr>
      <w:r>
        <w:t>Assessment result shall remain separate from Learning Point balance and completion state.</w:t>
      </w:r>
    </w:p>
    <w:p>
      <w:pPr>
        <w:pStyle w:val="ListBullet"/>
      </w:pPr>
      <w:r>
        <w:t>Purchased Learning Points cannot substitute for a required assessment.</w:t>
      </w:r>
    </w:p>
    <w:p>
      <w:pPr>
        <w:pStyle w:val="ListBullet"/>
      </w:pPr>
      <w:r>
        <w:t>Completion alone shall not automatically create a Skill or Credential unless the governing rule explicitly defines that outcome.</w:t>
      </w:r>
    </w:p>
    <w:p>
      <w:pPr>
        <w:pStyle w:val="ListBullet"/>
      </w:pPr>
      <w:r>
        <w:t>Skill and Credential shall remain distinct product concepts where both are applicable.</w:t>
      </w:r>
    </w:p>
    <w:p>
      <w:pPr>
        <w:pStyle w:val="ListBullet"/>
      </w:pPr>
      <w:r>
        <w:t>Credential shall remain distinct from Title/Award Instance.</w:t>
      </w:r>
    </w:p>
    <w:p>
      <w:pPr>
        <w:pStyle w:val="Heading1"/>
      </w:pPr>
      <w:r>
        <w:t>9. PRD Requirement Group — Title / Awarding Integration</w:t>
      </w:r>
    </w:p>
    <w:p>
      <w:pPr>
        <w:pStyle w:val="ListBullet"/>
      </w:pPr>
      <w:r>
        <w:t>Learning Points shall not be presented as a universal prerequisite for Title.</w:t>
      </w:r>
    </w:p>
    <w:p>
      <w:pPr>
        <w:pStyle w:val="ListBullet"/>
      </w:pPr>
      <w:r>
        <w:t>When learning contributes to Title eligibility, the product must respect the applicable Awarding Path and Awarding Rule semantics.</w:t>
      </w:r>
    </w:p>
    <w:p>
      <w:pPr>
        <w:pStyle w:val="ListBullet"/>
      </w:pPr>
      <w:r>
        <w:t>Title/Award Instance must be represented as an Awarding outcome rather than a generic learning completion outcome.</w:t>
      </w:r>
    </w:p>
    <w:p>
      <w:pPr>
        <w:pStyle w:val="ListBullet"/>
      </w:pPr>
      <w:r>
        <w:t>The product must not imply that a learner earns a Title merely by accumulating LP unless the governing Awarding rule explicitly defines that qualification.</w:t>
      </w:r>
    </w:p>
    <w:p>
      <w:pPr>
        <w:pStyle w:val="Heading1"/>
      </w:pPr>
      <w:r>
        <w:t>10. PRD Requirement Group — Partnership Learning</w:t>
      </w:r>
    </w:p>
    <w:p>
      <w:pPr>
        <w:pStyle w:val="ListBullet"/>
      </w:pPr>
      <w:r>
        <w:t>Partnership Learning shall be presented as a distinct learning model from Internal Learning Economy.</w:t>
      </w:r>
    </w:p>
    <w:p>
      <w:pPr>
        <w:pStyle w:val="ListBullet"/>
      </w:pPr>
      <w:r>
        <w:t>Partner learning does not automatically require Learning Points.</w:t>
      </w:r>
    </w:p>
    <w:p>
      <w:pPr>
        <w:pStyle w:val="ListBullet"/>
      </w:pPr>
      <w:r>
        <w:t>Partner result/credential shall preserve Partner/Provider provenance.</w:t>
      </w:r>
    </w:p>
    <w:p>
      <w:pPr>
        <w:pStyle w:val="ListBullet"/>
      </w:pPr>
      <w:r>
        <w:t>Partner Credential shall not automatically be presented as a RumahAgen Verified Skill.</w:t>
      </w:r>
    </w:p>
    <w:p>
      <w:pPr>
        <w:pStyle w:val="ListBullet"/>
      </w:pPr>
      <w:r>
        <w:t>Where partner evidence is recognized by RumahAgen, the recognition outcome must follow an explicit governed rule.</w:t>
      </w:r>
    </w:p>
    <w:p>
      <w:pPr>
        <w:pStyle w:val="ListBullet"/>
      </w:pPr>
      <w:r>
        <w:t>Agent Profile may aggregate Internal and Partnership outcomes while preserving their source.</w:t>
      </w:r>
    </w:p>
    <w:p>
      <w:pPr>
        <w:pStyle w:val="Heading1"/>
      </w:pPr>
      <w:r>
        <w:t>11. PRD Requirement Group — Purchased Point Payment Journey</w:t>
      </w:r>
    </w:p>
    <w:p>
      <w:pPr>
        <w:pStyle w:val="ListBullet"/>
      </w:pPr>
      <w:r>
        <w:t>Purchase → Payment Pending/Processing → Verified/Confirmed Payment → Purchased LP Grant → Confirmed Purchased LP Transaction.</w:t>
      </w:r>
    </w:p>
    <w:p>
      <w:pPr>
        <w:pStyle w:val="ListBullet"/>
      </w:pPr>
      <w:r>
        <w:t>Failed/cancelled/expired/unverified payment must not be presented as a successful LP purchase.</w:t>
      </w:r>
    </w:p>
    <w:p>
      <w:pPr>
        <w:pStyle w:val="ListBullet"/>
      </w:pPr>
      <w:r>
        <w:t>If payment is confirmed but LP grant processing fails, the product must avoid falsely presenting the points as available until confirmation; the exception must be recoverable through reconciliation.</w:t>
      </w:r>
    </w:p>
    <w:p>
      <w:pPr>
        <w:pStyle w:val="ListBullet"/>
      </w:pPr>
      <w:r>
        <w:t>The product must support a safe retry/recovery experience without creating duplicate points.</w:t>
      </w:r>
    </w:p>
    <w:p>
      <w:pPr>
        <w:pStyle w:val="ListBullet"/>
      </w:pPr>
      <w:r>
        <w:t>Commercial/payment provider details remain outside Learning product authority.</w:t>
      </w:r>
    </w:p>
    <w:p>
      <w:pPr>
        <w:pStyle w:val="Heading1"/>
      </w:pPr>
      <w:r>
        <w:t>12. PRD Requirement Group — Configuration</w:t>
      </w:r>
    </w:p>
    <w:p>
      <w:pPr>
        <w:pStyle w:val="ListBullet"/>
      </w:pPr>
      <w:r>
        <w:t>Authorized administrators shall be able to manage Learning Economy parameters that the governing rules designate as configurable.</w:t>
      </w:r>
    </w:p>
    <w:p>
      <w:pPr>
        <w:pStyle w:val="ListBullet"/>
      </w:pPr>
      <w:r>
        <w:t>Potential configurable areas include activity rewards, unlock/progression thresholds, purchase packages, price, bonus, earning limits, expiration policy if introduced, and redemption rules.</w:t>
      </w:r>
    </w:p>
    <w:p>
      <w:pPr>
        <w:pStyle w:val="ListBullet"/>
      </w:pPr>
      <w:r>
        <w:t>Configuration changes shall affect applicable future/current operations according to their effective rules without rewriting historical transactions.</w:t>
      </w:r>
    </w:p>
    <w:p>
      <w:pPr>
        <w:pStyle w:val="ListBullet"/>
      </w:pPr>
      <w:r>
        <w:t>The product shall preserve historical purchase/point meaning after later configuration changes.</w:t>
      </w:r>
    </w:p>
    <w:p>
      <w:pPr>
        <w:pStyle w:val="ListBullet"/>
      </w:pPr>
      <w:r>
        <w:t>Manual point adjustment, where enabled, shall require authorization, reason and auditable provenance.</w:t>
      </w:r>
    </w:p>
    <w:p>
      <w:pPr>
        <w:pStyle w:val="Heading1"/>
      </w:pPr>
      <w:r>
        <w:t>13. PRD Requirement Group — Roles and Authority</w:t>
      </w:r>
    </w:p>
    <w:p>
      <w:pPr>
        <w:pStyle w:val="ListBullet"/>
      </w:pPr>
      <w:r>
        <w:t>Agent/Learner: consume learning, earn/buy/use points, progress and view own outcomes.</w:t>
      </w:r>
    </w:p>
    <w:p>
      <w:pPr>
        <w:pStyle w:val="ListBullet"/>
      </w:pPr>
      <w:r>
        <w:t>Learning Administrator: manage learning/configuration within authorized scope.</w:t>
      </w:r>
    </w:p>
    <w:p>
      <w:pPr>
        <w:pStyle w:val="ListBullet"/>
      </w:pPr>
      <w:r>
        <w:t>Assessment/Reviewer: assess and verify competency within assigned scope.</w:t>
      </w:r>
    </w:p>
    <w:p>
      <w:pPr>
        <w:pStyle w:val="ListBullet"/>
      </w:pPr>
      <w:r>
        <w:t>Skill/Credential Authority: perform governed issuance/verification.</w:t>
      </w:r>
    </w:p>
    <w:p>
      <w:pPr>
        <w:pStyle w:val="ListBullet"/>
      </w:pPr>
      <w:r>
        <w:t>Partner Administrator: manage partner learning results within scope.</w:t>
      </w:r>
    </w:p>
    <w:p>
      <w:pPr>
        <w:pStyle w:val="ListBullet"/>
      </w:pPr>
      <w:r>
        <w:t>Payment/Commercial: own payment/order state.</w:t>
      </w:r>
    </w:p>
    <w:p>
      <w:pPr>
        <w:pStyle w:val="ListBullet"/>
      </w:pPr>
      <w:r>
        <w:t>Reconciliation/Ops: investigate payment-to-point inconsistencies.</w:t>
      </w:r>
    </w:p>
    <w:p>
      <w:pPr>
        <w:pStyle w:val="ListBullet"/>
      </w:pPr>
      <w:r>
        <w:t>The product shall not treat Learning Points, Commercial Entitlement or payment confirmation as RBAC permission.</w:t>
      </w:r>
    </w:p>
    <w:p>
      <w:pPr>
        <w:pStyle w:val="Heading1"/>
      </w:pPr>
      <w:r>
        <w:t>14. PRD Requirement Group — Audit and Trust</w:t>
      </w:r>
    </w:p>
    <w:p>
      <w:pPr>
        <w:pStyle w:val="ListBullet"/>
      </w:pPr>
      <w:r>
        <w:t>The product/back office shall support traceability from earned LP to learning source.</w:t>
      </w:r>
    </w:p>
    <w:p>
      <w:pPr>
        <w:pStyle w:val="ListBullet"/>
      </w:pPr>
      <w:r>
        <w:t>Purchased LP shall be traceable to confirmed commercial/payment provenance.</w:t>
      </w:r>
    </w:p>
    <w:p>
      <w:pPr>
        <w:pStyle w:val="ListBullet"/>
      </w:pPr>
      <w:r>
        <w:t>Assessment/competency outcomes shall be traceable to applicable evidence.</w:t>
      </w:r>
    </w:p>
    <w:p>
      <w:pPr>
        <w:pStyle w:val="ListBullet"/>
      </w:pPr>
      <w:r>
        <w:t>Partner outcomes shall retain partner provenance.</w:t>
      </w:r>
    </w:p>
    <w:p>
      <w:pPr>
        <w:pStyle w:val="ListBullet"/>
      </w:pPr>
      <w:r>
        <w:t>Learning-based Award qualification shall remain traceable to the governed Awarding path/rule context.</w:t>
      </w:r>
    </w:p>
    <w:p>
      <w:pPr>
        <w:pStyle w:val="ListBullet"/>
      </w:pPr>
      <w:r>
        <w:t>Manual corrections shall be auditable.</w:t>
      </w:r>
    </w:p>
    <w:p>
      <w:pPr>
        <w:pStyle w:val="Heading1"/>
      </w:pPr>
      <w:r>
        <w:t>15. PRD Requirement Group — Failure and Reconciliation</w:t>
      </w:r>
    </w:p>
    <w:p>
      <w:pPr>
        <w:pStyle w:val="ListBullet"/>
      </w:pPr>
      <w:r>
        <w:t>Duplicate payment delivery shall not produce duplicate Purchased LP.</w:t>
      </w:r>
    </w:p>
    <w:p>
      <w:pPr>
        <w:pStyle w:val="ListBullet"/>
      </w:pPr>
      <w:r>
        <w:t>Confirmed payment with missing LP grant shall be detectable by authorized operations.</w:t>
      </w:r>
    </w:p>
    <w:p>
      <w:pPr>
        <w:pStyle w:val="ListBullet"/>
      </w:pPr>
      <w:r>
        <w:t>Payment/LP reference mismatch shall be detectable.</w:t>
      </w:r>
    </w:p>
    <w:p>
      <w:pPr>
        <w:pStyle w:val="ListBullet"/>
      </w:pPr>
      <w:r>
        <w:t>Incorrect/missing configuration shall not silently produce an incorrect reward.</w:t>
      </w:r>
    </w:p>
    <w:p>
      <w:pPr>
        <w:pStyle w:val="ListBullet"/>
      </w:pPr>
      <w:r>
        <w:t>The product shall distinguish normal retry from true reconciliation exception.</w:t>
      </w:r>
    </w:p>
    <w:p>
      <w:pPr>
        <w:pStyle w:val="ListBullet"/>
      </w:pPr>
      <w:r>
        <w:t>Reconciliation detection shall not be represented as automatic state correction.</w:t>
      </w:r>
    </w:p>
    <w:p>
      <w:pPr>
        <w:pStyle w:val="Heading1"/>
      </w:pPr>
      <w:r>
        <w:t>16. Acceptance-Criteria Direction</w:t>
      </w:r>
    </w:p>
    <w:p>
      <w:pPr>
        <w:pStyle w:val="ListBullet"/>
      </w:pPr>
      <w:r>
        <w:t>Given an eligible free activity, when validated completion occurs and an earning rule exists, then the learner receives the configured Earned LP transaction exactly according to the governing rule.</w:t>
      </w:r>
    </w:p>
    <w:p>
      <w:pPr>
        <w:pStyle w:val="ListBullet"/>
      </w:pPr>
      <w:r>
        <w:t>Given a Purchased LP order, when payment is verified and confirmed, then one Purchased LP grant is created; repeated delivery does not duplicate it.</w:t>
      </w:r>
    </w:p>
    <w:p>
      <w:pPr>
        <w:pStyle w:val="ListBullet"/>
      </w:pPr>
      <w:r>
        <w:t>Given a mandatory assessment, no amount of Purchased LP makes the assessment unnecessary.</w:t>
      </w:r>
    </w:p>
    <w:p>
      <w:pPr>
        <w:pStyle w:val="ListBullet"/>
      </w:pPr>
      <w:r>
        <w:t>Given an activity completion without a qualifying competency rule, no Skill/Credential is automatically issued.</w:t>
      </w:r>
    </w:p>
    <w:p>
      <w:pPr>
        <w:pStyle w:val="ListBullet"/>
      </w:pPr>
      <w:r>
        <w:t>Given a later configuration change, historical LP transactions and purchased outcomes remain unchanged.</w:t>
      </w:r>
    </w:p>
    <w:p>
      <w:pPr>
        <w:pStyle w:val="ListBullet"/>
      </w:pPr>
      <w:r>
        <w:t>Given a Partnership Learning result, its partner provenance remains visible/traceable and it does not silently become an Internal Learning Economy outcome.</w:t>
      </w:r>
    </w:p>
    <w:p>
      <w:pPr>
        <w:pStyle w:val="ListBullet"/>
      </w:pPr>
      <w:r>
        <w:t>Given an unauthorized learner request to mutate official LP balance/transactions, the operation is rejected.</w:t>
      </w:r>
    </w:p>
    <w:p>
      <w:pPr>
        <w:pStyle w:val="ListBullet"/>
      </w:pPr>
      <w:r>
        <w:t>Given confirmed payment but failed LP allocation, the system retains a reconcilable exception and does not silently lose or duplicate the economic outcome.</w:t>
      </w:r>
    </w:p>
    <w:p>
      <w:pPr>
        <w:pStyle w:val="Heading1"/>
      </w:pPr>
      <w:r>
        <w:t>17. Non-Functional Product Obligations</w:t>
      </w:r>
    </w:p>
    <w:p>
      <w:pPr>
        <w:pStyle w:val="ListBullet"/>
      </w:pPr>
      <w:r>
        <w:t>Auditability of Learning Point and outcome provenance.</w:t>
      </w:r>
    </w:p>
    <w:p>
      <w:pPr>
        <w:pStyle w:val="ListBullet"/>
      </w:pPr>
      <w:r>
        <w:t>Idempotent purchased-point fulfillment.</w:t>
      </w:r>
    </w:p>
    <w:p>
      <w:pPr>
        <w:pStyle w:val="ListBullet"/>
      </w:pPr>
      <w:r>
        <w:t>Clear state semantics to prevent users confusing progression with competency.</w:t>
      </w:r>
    </w:p>
    <w:p>
      <w:pPr>
        <w:pStyle w:val="ListBullet"/>
      </w:pPr>
      <w:r>
        <w:t>Configuration history integrity.</w:t>
      </w:r>
    </w:p>
    <w:p>
      <w:pPr>
        <w:pStyle w:val="ListBullet"/>
      </w:pPr>
      <w:r>
        <w:t>Role-appropriate access to administrative and assessment capabilities.</w:t>
      </w:r>
    </w:p>
    <w:p>
      <w:pPr>
        <w:pStyle w:val="ListBullet"/>
      </w:pPr>
      <w:r>
        <w:t>Reconciliation visibility for authorized operations.</w:t>
      </w:r>
    </w:p>
    <w:p>
      <w:pPr>
        <w:pStyle w:val="ListBullet"/>
      </w:pPr>
      <w:r>
        <w:t>Extensible Learning Activity model.</w:t>
      </w:r>
    </w:p>
    <w:p>
      <w:pPr>
        <w:pStyle w:val="Heading1"/>
      </w:pPr>
      <w:r>
        <w:t>18. Explicit PRD Items Deferred</w:t>
      </w:r>
    </w:p>
    <w:p>
      <w:pPr>
        <w:pStyle w:val="ListBullet"/>
      </w:pPr>
      <w:r>
        <w:t>Exact page/screen wording.</w:t>
      </w:r>
    </w:p>
    <w:p>
      <w:pPr>
        <w:pStyle w:val="ListBullet"/>
      </w:pPr>
      <w:r>
        <w:t>Exact UI layout and component design.</w:t>
      </w:r>
    </w:p>
    <w:p>
      <w:pPr>
        <w:pStyle w:val="ListBullet"/>
      </w:pPr>
      <w:r>
        <w:t>Exact pricing/package presentation.</w:t>
      </w:r>
    </w:p>
    <w:p>
      <w:pPr>
        <w:pStyle w:val="ListBullet"/>
      </w:pPr>
      <w:r>
        <w:t>Exact payment-method presentation.</w:t>
      </w:r>
    </w:p>
    <w:p>
      <w:pPr>
        <w:pStyle w:val="ListBullet"/>
      </w:pPr>
      <w:r>
        <w:t>Exact notification templates.</w:t>
      </w:r>
    </w:p>
    <w:p>
      <w:pPr>
        <w:pStyle w:val="ListBullet"/>
      </w:pPr>
      <w:r>
        <w:t>Detailed refund/chargeback learner policy where not already governed.</w:t>
      </w:r>
    </w:p>
    <w:p>
      <w:pPr>
        <w:pStyle w:val="ListBullet"/>
      </w:pPr>
      <w:r>
        <w:t>Detailed analytics/reporting requirements.</w:t>
      </w:r>
    </w:p>
    <w:p>
      <w:pPr>
        <w:pStyle w:val="ListBullet"/>
      </w:pPr>
      <w:r>
        <w:t>Final release-phase prioritization.</w:t>
      </w:r>
    </w:p>
    <w:p>
      <w:pPr>
        <w:pStyle w:val="ListBullet"/>
      </w:pPr>
      <w:r>
        <w:t>Learning Session UI/UX — deferred to AEP #4.</w:t>
      </w:r>
    </w:p>
    <w:p>
      <w:pPr>
        <w:pStyle w:val="ListBullet"/>
      </w:pPr>
      <w:r>
        <w:t>Exact permission IDs — deferred to RBAC baseline reconciliation.</w:t>
      </w:r>
    </w:p>
    <w:p>
      <w:pPr>
        <w:pStyle w:val="Heading1"/>
      </w:pPr>
      <w:r>
        <w:t>19. MADCR-049 Boundary</w:t>
      </w:r>
    </w:p>
    <w:p>
      <w:r>
        <w:t>The PRD may define the intended product behavior around Learning Activity because the AEP/BR source requires activity-driven learning, but it must not present the governance status of MADCR-049 as closed. Any product behavior that depends on a final authoritative Learning Activity evidence model remains subject to the MADCR-049 re-evaluation gate.</w:t>
      </w:r>
    </w:p>
    <w:p>
      <w:pPr>
        <w:pStyle w:val="Heading1"/>
      </w:pPr>
      <w:r>
        <w:t>20. Traceability</w:t>
      </w:r>
    </w:p>
    <w:p>
      <w:pPr>
        <w:pStyle w:val="ListBullet"/>
      </w:pPr>
      <w:r>
        <w:t>LE-001–005 → core product promise and learner progression.</w:t>
      </w:r>
    </w:p>
    <w:p>
      <w:pPr>
        <w:pStyle w:val="ListBullet"/>
      </w:pPr>
      <w:r>
        <w:t>LE-006–009 → Learning Point balance, transaction and provenance requirements.</w:t>
      </w:r>
    </w:p>
    <w:p>
      <w:pPr>
        <w:pStyle w:val="ListBullet"/>
      </w:pPr>
      <w:r>
        <w:t>LE-011–014 → activity/completion/reward requirements.</w:t>
      </w:r>
    </w:p>
    <w:p>
      <w:pPr>
        <w:pStyle w:val="ListBullet"/>
      </w:pPr>
      <w:r>
        <w:t>LE-015–018 → path/unlock/progression requirements.</w:t>
      </w:r>
    </w:p>
    <w:p>
      <w:pPr>
        <w:pStyle w:val="ListBullet"/>
      </w:pPr>
      <w:r>
        <w:t>LE-019–023 → assessment/competency requirements.</w:t>
      </w:r>
    </w:p>
    <w:p>
      <w:pPr>
        <w:pStyle w:val="ListBullet"/>
      </w:pPr>
      <w:r>
        <w:t>LE-024–032 → Skill/Credential/Title-Awarding boundaries.</w:t>
      </w:r>
    </w:p>
    <w:p>
      <w:pPr>
        <w:pStyle w:val="ListBullet"/>
      </w:pPr>
      <w:r>
        <w:t>LE-033–036 → Partnership Learning product boundary.</w:t>
      </w:r>
    </w:p>
    <w:p>
      <w:pPr>
        <w:pStyle w:val="ListBullet"/>
      </w:pPr>
      <w:r>
        <w:t>LE-037–042 → Payment/Purchased LP product flow.</w:t>
      </w:r>
    </w:p>
    <w:p>
      <w:pPr>
        <w:pStyle w:val="ListBullet"/>
      </w:pPr>
      <w:r>
        <w:t>LE-043–047 → roles and authority.</w:t>
      </w:r>
    </w:p>
    <w:p>
      <w:pPr>
        <w:pStyle w:val="ListBullet"/>
      </w:pPr>
      <w:r>
        <w:t>LE-048–052 → audit/provenance.</w:t>
      </w:r>
    </w:p>
    <w:p>
      <w:pPr>
        <w:pStyle w:val="ListBullet"/>
      </w:pPr>
      <w:r>
        <w:t>LE-053–055 → configuration/history.</w:t>
      </w:r>
    </w:p>
    <w:p>
      <w:pPr>
        <w:pStyle w:val="ListBullet"/>
      </w:pPr>
      <w:r>
        <w:t>LE-056–059 → failure/idempotency/reconciliation.</w:t>
      </w:r>
    </w:p>
    <w:p>
      <w:pPr>
        <w:pStyle w:val="Heading1"/>
      </w:pPr>
      <w:r>
        <w:t>21. Gate Result</w:t>
      </w:r>
    </w:p>
    <w:p>
      <w:r>
        <w:t>PASS WITH PRODUCT-DETAIL RESIDUALS.</w:t>
        <w:br/>
        <w:br/>
        <w:t>AEP #2 PRD impact is sufficiently defined at product capability and acceptance-criteria direction level. Exact PRD wording, screen-level details, release prioritization and other product-detail decisions remain downstream. No existing PRD statement is silently replaced by this artifact.</w:t>
      </w:r>
    </w:p>
    <w:p>
      <w:pPr>
        <w:pStyle w:val="Heading1"/>
      </w:pPr>
      <w:r>
        <w:t>22. Next Step</w:t>
      </w:r>
    </w:p>
    <w:p>
      <w:r>
        <w:t>Proceed to AEP #2 Engineering Guidebook / Development Playbook Impact. The engineering stage must translate the locked product/architecture invariants into implementation guardrails without performing the deferred global technical-baseline synchronization.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