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AEP #2 — Learning Economy Engineering Guidebook / Development Playbook Impact</w:t>
      </w:r>
    </w:p>
    <w:p>
      <w:r>
        <w:t>RumahAgen | Internal Learning / Learning Economy | Controlled Engineering Synchronization Artifact</w:t>
      </w:r>
    </w:p>
    <w:p>
      <w:pPr>
        <w:pStyle w:val="Heading1"/>
      </w:pPr>
      <w:r>
        <w:t>1. Purpose</w:t>
      </w:r>
    </w:p>
    <w:p>
      <w:r>
        <w:t>Translate the locked AEP #2 Learning Economy architecture, decisions, schema/API/RBAC/User Flow/PRD impacts into engineering guardrails and development-playbook obligations. This artifact does not perform the deferred global synchronization of the Project Constitution, System Architecture, Technical Decisions, Dependency Manifest, Project Manifest, Current Project State, Changelog or other project-wide technical baselines.</w:t>
      </w:r>
    </w:p>
    <w:p>
      <w:pPr>
        <w:pStyle w:val="Heading1"/>
      </w:pPr>
      <w:r>
        <w:t>2. Source Basis / Evidence Boundary</w:t>
      </w:r>
    </w:p>
    <w:p>
      <w:pPr>
        <w:pStyle w:val="ListBullet"/>
      </w:pPr>
      <w:r>
        <w:t>AEP #2 requires downstream synchronization across ERD, Schema, API, RBAC, User Flow, PRD, Engineering Guidebook, Test and cross-document traceability.</w:t>
      </w:r>
    </w:p>
    <w:p>
      <w:pPr>
        <w:pStyle w:val="ListBullet"/>
      </w:pPr>
      <w:r>
        <w:t>The Engineering Guidebook / Development Playbook impact is therefore a downstream consequence of the already locked Learning Economy decisions, not a new source of business authority.</w:t>
      </w:r>
    </w:p>
    <w:p>
      <w:pPr>
        <w:pStyle w:val="ListBullet"/>
      </w:pPr>
      <w:r>
        <w:t>The project execution lock requires global technical-document synchronization only after AEP #1–#4 are finalized.</w:t>
      </w:r>
    </w:p>
    <w:p>
      <w:pPr>
        <w:pStyle w:val="ListBullet"/>
      </w:pPr>
      <w:r>
        <w:t>Exact current Engineering Guidebook section content is not independently reproduced in this artifact; therefore this document defines impact obligations and guardrails rather than claiming exact existing-section conflicts.</w:t>
      </w:r>
    </w:p>
    <w:p>
      <w:pPr>
        <w:pStyle w:val="Heading1"/>
      </w:pPr>
      <w:r>
        <w:t>3. Engineering Authority Hierarchy</w:t>
      </w:r>
    </w:p>
    <w:p>
      <w:pPr>
        <w:pStyle w:val="ListBullet"/>
      </w:pPr>
      <w:r>
        <w:t>Approved governance decisions / MADCR remain authoritative where applicable.</w:t>
      </w:r>
    </w:p>
    <w:p>
      <w:pPr>
        <w:pStyle w:val="ListBullet"/>
      </w:pPr>
      <w:r>
        <w:t>Canonical Learning Economy Business Rules remain normative for Learning behavior.</w:t>
      </w:r>
    </w:p>
    <w:p>
      <w:pPr>
        <w:pStyle w:val="ListBullet"/>
      </w:pPr>
      <w:r>
        <w:t>Locked AEP #2 decisions formalized as ADR-LE-001–008 govern the new Learning Economy invariants.</w:t>
      </w:r>
    </w:p>
    <w:p>
      <w:pPr>
        <w:pStyle w:val="ListBullet"/>
      </w:pPr>
      <w:r>
        <w:t>Architecture/ERD/Schema/API/RBAC/User Flow/PRD artifacts must remain consistent with those authorities.</w:t>
      </w:r>
    </w:p>
    <w:p>
      <w:pPr>
        <w:pStyle w:val="ListBullet"/>
      </w:pPr>
      <w:r>
        <w:t>Engineering implementation must not create a new business rule merely because implementation is convenient.</w:t>
      </w:r>
    </w:p>
    <w:p>
      <w:pPr>
        <w:pStyle w:val="ListBullet"/>
      </w:pPr>
      <w:r>
        <w:t>Where source evidence is incomplete, implementation must stop at the documented boundary rather than inventing a rule.</w:t>
      </w:r>
    </w:p>
    <w:p>
      <w:pPr>
        <w:pStyle w:val="Heading1"/>
      </w:pPr>
      <w:r>
        <w:t>4. Learning Point Ledger Engineering Guardrails</w:t>
      </w:r>
    </w:p>
    <w:p>
      <w:pPr>
        <w:pStyle w:val="ListBullet"/>
      </w:pPr>
      <w:r>
        <w:t>Treat Learning Point Transaction as a first-class auditable domain record.</w:t>
      </w:r>
    </w:p>
    <w:p>
      <w:pPr>
        <w:pStyle w:val="ListBullet"/>
      </w:pPr>
      <w:r>
        <w:t>Do not implement Learning Points as a mutable balance-only feature.</w:t>
      </w:r>
    </w:p>
    <w:p>
      <w:pPr>
        <w:pStyle w:val="ListBullet"/>
      </w:pPr>
      <w:r>
        <w:t>Balance may be a projection/cache/controlled aggregate, but transaction history must remain authoritative for audit/provenance according to the final architecture.</w:t>
      </w:r>
    </w:p>
    <w:p>
      <w:pPr>
        <w:pStyle w:val="ListBullet"/>
      </w:pPr>
      <w:r>
        <w:t>Earned and Purchased provenance must be explicit and queryable.</w:t>
      </w:r>
    </w:p>
    <w:p>
      <w:pPr>
        <w:pStyle w:val="ListBullet"/>
      </w:pPr>
      <w:r>
        <w:t>Redeemed/Used and authorized adjustment/reversal semantics must remain distinguishable where applicable.</w:t>
      </w:r>
    </w:p>
    <w:p>
      <w:pPr>
        <w:pStyle w:val="ListBullet"/>
      </w:pPr>
      <w:r>
        <w:t>Do not allow ordinary learner-facing code paths to directly write official point balance.</w:t>
      </w:r>
    </w:p>
    <w:p>
      <w:pPr>
        <w:pStyle w:val="Heading1"/>
      </w:pPr>
      <w:r>
        <w:t>5. Earned Point Engineering Guardrails</w:t>
      </w:r>
    </w:p>
    <w:p>
      <w:pPr>
        <w:pStyle w:val="ListBullet"/>
      </w:pPr>
      <w:r>
        <w:t>A reward must be tied to a validated Learning Activity completion or an explicitly authorized adjustment source.</w:t>
      </w:r>
    </w:p>
    <w:p>
      <w:pPr>
        <w:pStyle w:val="ListBullet"/>
      </w:pPr>
      <w:r>
        <w:t>Completion validation must occur before official point issuance.</w:t>
      </w:r>
    </w:p>
    <w:p>
      <w:pPr>
        <w:pStyle w:val="ListBullet"/>
      </w:pPr>
      <w:r>
        <w:t>Reward configuration must be read through governed configuration, not hard-coded business constants where the rule identifies the parameter as configurable.</w:t>
      </w:r>
    </w:p>
    <w:p>
      <w:pPr>
        <w:pStyle w:val="ListBullet"/>
      </w:pPr>
      <w:r>
        <w:t>Duplicate completion/reward processing must respect the applicable idempotency rule.</w:t>
      </w:r>
    </w:p>
    <w:p>
      <w:pPr>
        <w:pStyle w:val="ListBullet"/>
      </w:pPr>
      <w:r>
        <w:t>Historical earned transactions must not be rewritten by later configuration changes.</w:t>
      </w:r>
    </w:p>
    <w:p>
      <w:pPr>
        <w:pStyle w:val="Heading1"/>
      </w:pPr>
      <w:r>
        <w:t>6. Purchased Point Engineering Guardrails</w:t>
      </w:r>
    </w:p>
    <w:p>
      <w:pPr>
        <w:pStyle w:val="ListBullet"/>
      </w:pPr>
      <w:r>
        <w:t>Purchased LP must originate from trusted confirmed Commercial/Payment outcome.</w:t>
      </w:r>
    </w:p>
    <w:p>
      <w:pPr>
        <w:pStyle w:val="ListBullet"/>
      </w:pPr>
      <w:r>
        <w:t>Do not accept client-supplied payment-confirmed state as sufficient authority.</w:t>
      </w:r>
    </w:p>
    <w:p>
      <w:pPr>
        <w:pStyle w:val="ListBullet"/>
      </w:pPr>
      <w:r>
        <w:t>A single confirmed commercial payment transaction may produce at most one confirmed Purchased LP grant.</w:t>
      </w:r>
    </w:p>
    <w:p>
      <w:pPr>
        <w:pStyle w:val="ListBullet"/>
      </w:pPr>
      <w:r>
        <w:t>Repeated callback/retry delivery must be safe and idempotent.</w:t>
      </w:r>
    </w:p>
    <w:p>
      <w:pPr>
        <w:pStyle w:val="ListBullet"/>
      </w:pPr>
      <w:r>
        <w:t>Purchased LP transaction must preserve commercial/payment provenance.</w:t>
      </w:r>
    </w:p>
    <w:p>
      <w:pPr>
        <w:pStyle w:val="ListBullet"/>
      </w:pPr>
      <w:r>
        <w:t>Payment state remains Payment-owned; Learning code consumes the contract rather than implementing provider-specific payment logic.</w:t>
      </w:r>
    </w:p>
    <w:p>
      <w:pPr>
        <w:pStyle w:val="Heading1"/>
      </w:pPr>
      <w:r>
        <w:t>7. Payment Adapter Boundary</w:t>
      </w:r>
    </w:p>
    <w:p>
      <w:pPr>
        <w:pStyle w:val="ListBullet"/>
      </w:pPr>
      <w:r>
        <w:t>Provider-specific SDK/API/webhook handling belongs to the Payment/Provider Adapter boundary.</w:t>
      </w:r>
    </w:p>
    <w:p>
      <w:pPr>
        <w:pStyle w:val="ListBullet"/>
      </w:pPr>
      <w:r>
        <w:t>Learning services/modules must not contain provider-specific branching.</w:t>
      </w:r>
    </w:p>
    <w:p>
      <w:pPr>
        <w:pStyle w:val="ListBullet"/>
      </w:pPr>
      <w:r>
        <w:t>Learning should consume an internally verified/normalized payment outcome.</w:t>
      </w:r>
    </w:p>
    <w:p>
      <w:pPr>
        <w:pStyle w:val="ListBullet"/>
      </w:pPr>
      <w:r>
        <w:t>Provider replacement must not require Learning business-rule changes.</w:t>
      </w:r>
    </w:p>
    <w:p>
      <w:pPr>
        <w:pStyle w:val="ListBullet"/>
      </w:pPr>
      <w:r>
        <w:t>Reconciliation may correlate payment and learning records but must not become an alternate payment authority.</w:t>
      </w:r>
    </w:p>
    <w:p>
      <w:pPr>
        <w:pStyle w:val="Heading1"/>
      </w:pPr>
      <w:r>
        <w:t>8. Assessment / Competency Engineering Guardrails</w:t>
      </w:r>
    </w:p>
    <w:p>
      <w:pPr>
        <w:pStyle w:val="ListBullet"/>
      </w:pPr>
      <w:r>
        <w:t>Never implement purchased LP as an assessment-pass shortcut.</w:t>
      </w:r>
    </w:p>
    <w:p>
      <w:pPr>
        <w:pStyle w:val="ListBullet"/>
      </w:pPr>
      <w:r>
        <w:t>Keep Activity Completion, Assessment Result, Competency, Skill and Credential as distinct states/models.</w:t>
      </w:r>
    </w:p>
    <w:p>
      <w:pPr>
        <w:pStyle w:val="ListBullet"/>
      </w:pPr>
      <w:r>
        <w:t>Client-side completion claims are insufficient for governed Skill/Credential issuance.</w:t>
      </w:r>
    </w:p>
    <w:p>
      <w:pPr>
        <w:pStyle w:val="ListBullet"/>
      </w:pPr>
      <w:r>
        <w:t>Assessment requirements must be evaluated from applicable configuration/rules.</w:t>
      </w:r>
    </w:p>
    <w:p>
      <w:pPr>
        <w:pStyle w:val="ListBullet"/>
      </w:pPr>
      <w:r>
        <w:t>Credential/Skill issuance must occur only through authorized governed paths.</w:t>
      </w:r>
    </w:p>
    <w:p>
      <w:pPr>
        <w:pStyle w:val="ListBullet"/>
      </w:pPr>
      <w:r>
        <w:t>Do not encode a universal rule that every Learning completion creates a Skill/Credential.</w:t>
      </w:r>
    </w:p>
    <w:p>
      <w:pPr>
        <w:pStyle w:val="Heading1"/>
      </w:pPr>
      <w:r>
        <w:t>9. Title / Awarding Integration Guardrails</w:t>
      </w:r>
    </w:p>
    <w:p>
      <w:pPr>
        <w:pStyle w:val="ListBullet"/>
      </w:pPr>
      <w:r>
        <w:t>Learning code must not become the authority for Title eligibility.</w:t>
      </w:r>
    </w:p>
    <w:p>
      <w:pPr>
        <w:pStyle w:val="ListBullet"/>
      </w:pPr>
      <w:r>
        <w:t>Where Learning contributes evidence to Awarding, preserve Awarding Path Version and Awarding Rule Version semantics.</w:t>
      </w:r>
    </w:p>
    <w:p>
      <w:pPr>
        <w:pStyle w:val="ListBullet"/>
      </w:pPr>
      <w:r>
        <w:t>Do not collapse Credential into Award Instance.</w:t>
      </w:r>
    </w:p>
    <w:p>
      <w:pPr>
        <w:pStyle w:val="ListBullet"/>
      </w:pPr>
      <w:r>
        <w:t>Do not make Learning Points a universal Title prerequisite.</w:t>
      </w:r>
    </w:p>
    <w:p>
      <w:pPr>
        <w:pStyle w:val="ListBullet"/>
      </w:pPr>
      <w:r>
        <w:t>Integration should pass evidence/outcome through the governed Awarding boundary rather than directly mutating Title state.</w:t>
      </w:r>
    </w:p>
    <w:p>
      <w:pPr>
        <w:pStyle w:val="Heading1"/>
      </w:pPr>
      <w:r>
        <w:t>10. Partnership Learning Engineering Guardrails</w:t>
      </w:r>
    </w:p>
    <w:p>
      <w:pPr>
        <w:pStyle w:val="ListBullet"/>
      </w:pPr>
      <w:r>
        <w:t>Keep Partnership Learning logic distinct from Internal Learning Economy logic.</w:t>
      </w:r>
    </w:p>
    <w:p>
      <w:pPr>
        <w:pStyle w:val="ListBullet"/>
      </w:pPr>
      <w:r>
        <w:t>Do not require LP for partner learning unless an explicit governed rule requires it.</w:t>
      </w:r>
    </w:p>
    <w:p>
      <w:pPr>
        <w:pStyle w:val="ListBullet"/>
      </w:pPr>
      <w:r>
        <w:t>Preserve Partner/Provider provenance.</w:t>
      </w:r>
    </w:p>
    <w:p>
      <w:pPr>
        <w:pStyle w:val="ListBullet"/>
      </w:pPr>
      <w:r>
        <w:t>Do not automatically transform Partner Credential into Internal Verified Skill.</w:t>
      </w:r>
    </w:p>
    <w:p>
      <w:pPr>
        <w:pStyle w:val="ListBullet"/>
      </w:pPr>
      <w:r>
        <w:t>Partner result recognition must pass through configured recognition/Awarding rules.</w:t>
      </w:r>
    </w:p>
    <w:p>
      <w:pPr>
        <w:pStyle w:val="Heading1"/>
      </w:pPr>
      <w:r>
        <w:t>11. Configuration Engineering Guardrails</w:t>
      </w:r>
    </w:p>
    <w:p>
      <w:pPr>
        <w:pStyle w:val="ListBullet"/>
      </w:pPr>
      <w:r>
        <w:t>Configurable Learning Economy parameters must be stored/managed as configuration data rather than hard-coded constants.</w:t>
      </w:r>
    </w:p>
    <w:p>
      <w:pPr>
        <w:pStyle w:val="ListBullet"/>
      </w:pPr>
      <w:r>
        <w:t>Configuration changes require authorization and audit according to the RBAC impact.</w:t>
      </w:r>
    </w:p>
    <w:p>
      <w:pPr>
        <w:pStyle w:val="ListBullet"/>
      </w:pPr>
      <w:r>
        <w:t>Historical transactions must retain sufficient context to explain their original outcome.</w:t>
      </w:r>
    </w:p>
    <w:p>
      <w:pPr>
        <w:pStyle w:val="ListBullet"/>
      </w:pPr>
      <w:r>
        <w:t>Changing current reward/package/price/bonus settings must not mutate historical transactions.</w:t>
      </w:r>
    </w:p>
    <w:p>
      <w:pPr>
        <w:pStyle w:val="ListBullet"/>
      </w:pPr>
      <w:r>
        <w:t>Manual point adjustment must create an auditable transaction/action rather than silently rewriting prior records.</w:t>
      </w:r>
    </w:p>
    <w:p>
      <w:pPr>
        <w:pStyle w:val="Heading1"/>
      </w:pPr>
      <w:r>
        <w:t>12. Cross-Domain Mutation Rule</w:t>
      </w:r>
    </w:p>
    <w:p>
      <w:pPr>
        <w:pStyle w:val="ListBullet"/>
      </w:pPr>
      <w:r>
        <w:t>Learning must not directly mutate Payment state.</w:t>
      </w:r>
    </w:p>
    <w:p>
      <w:pPr>
        <w:pStyle w:val="ListBullet"/>
      </w:pPr>
      <w:r>
        <w:t>Payment must not directly mutate Learning internal ledger state except through the defined integration contract.</w:t>
      </w:r>
    </w:p>
    <w:p>
      <w:pPr>
        <w:pStyle w:val="ListBullet"/>
      </w:pPr>
      <w:r>
        <w:t>Learning must not directly mutate RBAC.</w:t>
      </w:r>
    </w:p>
    <w:p>
      <w:pPr>
        <w:pStyle w:val="ListBullet"/>
      </w:pPr>
      <w:r>
        <w:t>Learning must not directly mutate Title/Awarding state outside governed integration.</w:t>
      </w:r>
    </w:p>
    <w:p>
      <w:pPr>
        <w:pStyle w:val="ListBullet"/>
      </w:pPr>
      <w:r>
        <w:t>Partnership ingestion must not silently mutate Internal Learning Economy.</w:t>
      </w:r>
    </w:p>
    <w:p>
      <w:pPr>
        <w:pStyle w:val="ListBullet"/>
      </w:pPr>
      <w:r>
        <w:t>Use explicit contracts/services/events where cross-domain state handoff is required.</w:t>
      </w:r>
    </w:p>
    <w:p>
      <w:pPr>
        <w:pStyle w:val="Heading1"/>
      </w:pPr>
      <w:r>
        <w:t>13. API / Service Engineering Guardrails</w:t>
      </w:r>
    </w:p>
    <w:p>
      <w:pPr>
        <w:pStyle w:val="ListBullet"/>
      </w:pPr>
      <w:r>
        <w:t>API handlers validate authorization and route to domain rules; they must not become an alternate business-rule authority.</w:t>
      </w:r>
    </w:p>
    <w:p>
      <w:pPr>
        <w:pStyle w:val="ListBullet"/>
      </w:pPr>
      <w:r>
        <w:t>Do not expose arbitrary point-credit/debit endpoints to learners.</w:t>
      </w:r>
    </w:p>
    <w:p>
      <w:pPr>
        <w:pStyle w:val="ListBullet"/>
      </w:pPr>
      <w:r>
        <w:t>Use idempotent processing for confirmed purchased-point grant handling.</w:t>
      </w:r>
    </w:p>
    <w:p>
      <w:pPr>
        <w:pStyle w:val="ListBullet"/>
      </w:pPr>
      <w:r>
        <w:t>Separate read models/projections from authoritative transaction writes where applicable.</w:t>
      </w:r>
    </w:p>
    <w:p>
      <w:pPr>
        <w:pStyle w:val="ListBullet"/>
      </w:pPr>
      <w:r>
        <w:t>Preserve correlation/provenance identifiers through the payment-to-learning flow.</w:t>
      </w:r>
    </w:p>
    <w:p>
      <w:pPr>
        <w:pStyle w:val="ListBullet"/>
      </w:pPr>
      <w:r>
        <w:t>Do not expose sensitive provider/payment credentials through Learning responses.</w:t>
      </w:r>
    </w:p>
    <w:p>
      <w:pPr>
        <w:pStyle w:val="Heading1"/>
      </w:pPr>
      <w:r>
        <w:t>14. Transaction / Concurrency Guardrails</w:t>
      </w:r>
    </w:p>
    <w:p>
      <w:pPr>
        <w:pStyle w:val="ListBullet"/>
      </w:pPr>
      <w:r>
        <w:t>Purchased LP grant must be safe under duplicate delivery and concurrent processing.</w:t>
      </w:r>
    </w:p>
    <w:p>
      <w:pPr>
        <w:pStyle w:val="ListBullet"/>
      </w:pPr>
      <w:r>
        <w:t>The final implementation must provide an atomic/equivalent mechanism preventing duplicate confirmed economic grants.</w:t>
      </w:r>
    </w:p>
    <w:p>
      <w:pPr>
        <w:pStyle w:val="ListBullet"/>
      </w:pPr>
      <w:r>
        <w:t>Failed processing must leave enough state for retry/reconciliation.</w:t>
      </w:r>
    </w:p>
    <w:p>
      <w:pPr>
        <w:pStyle w:val="ListBullet"/>
      </w:pPr>
      <w:r>
        <w:t>Do not implement a sequence where the system marks a grant confirmed before the economic transaction is safely recorded.</w:t>
      </w:r>
    </w:p>
    <w:p>
      <w:pPr>
        <w:pStyle w:val="ListBullet"/>
      </w:pPr>
      <w:r>
        <w:t>Exact locking, unique constraint, queue, transaction isolation and retry strategy remain implementation decisions to be reconciled with the actual technical baseline.</w:t>
      </w:r>
    </w:p>
    <w:p>
      <w:pPr>
        <w:pStyle w:val="Heading1"/>
      </w:pPr>
      <w:r>
        <w:t>15. Audit / Observability Guardrails</w:t>
      </w:r>
    </w:p>
    <w:p>
      <w:pPr>
        <w:pStyle w:val="ListBullet"/>
      </w:pPr>
      <w:r>
        <w:t>Point transaction must be traceable to its source.</w:t>
      </w:r>
    </w:p>
    <w:p>
      <w:pPr>
        <w:pStyle w:val="ListBullet"/>
      </w:pPr>
      <w:r>
        <w:t>Purchased point must correlate to commercial/payment reference.</w:t>
      </w:r>
    </w:p>
    <w:p>
      <w:pPr>
        <w:pStyle w:val="ListBullet"/>
      </w:pPr>
      <w:r>
        <w:t>Earned point must correlate to activity/completion source.</w:t>
      </w:r>
    </w:p>
    <w:p>
      <w:pPr>
        <w:pStyle w:val="ListBullet"/>
      </w:pPr>
      <w:r>
        <w:t>Assessment/competency outcome must retain evidence/reference context.</w:t>
      </w:r>
    </w:p>
    <w:p>
      <w:pPr>
        <w:pStyle w:val="ListBullet"/>
      </w:pPr>
      <w:r>
        <w:t>Partner result must preserve provider source.</w:t>
      </w:r>
    </w:p>
    <w:p>
      <w:pPr>
        <w:pStyle w:val="ListBullet"/>
      </w:pPr>
      <w:r>
        <w:t>Manual adjustment must record actor/reason.</w:t>
      </w:r>
    </w:p>
    <w:p>
      <w:pPr>
        <w:pStyle w:val="ListBullet"/>
      </w:pPr>
      <w:r>
        <w:t>Reconciliation exceptions must be observable to authorized operations.</w:t>
      </w:r>
    </w:p>
    <w:p>
      <w:pPr>
        <w:pStyle w:val="ListBullet"/>
      </w:pPr>
      <w:r>
        <w:t>Logs/telemetry must not become the only source of business truth.</w:t>
      </w:r>
    </w:p>
    <w:p>
      <w:pPr>
        <w:pStyle w:val="Heading1"/>
      </w:pPr>
      <w:r>
        <w:t>16. Testing / Quality Guardrails</w:t>
      </w:r>
    </w:p>
    <w:p>
      <w:pPr>
        <w:pStyle w:val="ListBullet"/>
      </w:pPr>
      <w:r>
        <w:t>Unit tests for point calculation/configuration boundaries.</w:t>
      </w:r>
    </w:p>
    <w:p>
      <w:pPr>
        <w:pStyle w:val="ListBullet"/>
      </w:pPr>
      <w:r>
        <w:t>Domain tests for Earned/Purchased/Redeemed provenance.</w:t>
      </w:r>
    </w:p>
    <w:p>
      <w:pPr>
        <w:pStyle w:val="ListBullet"/>
      </w:pPr>
      <w:r>
        <w:t>Idempotency tests for repeated payment confirmation/callback.</w:t>
      </w:r>
    </w:p>
    <w:p>
      <w:pPr>
        <w:pStyle w:val="ListBullet"/>
      </w:pPr>
      <w:r>
        <w:t>Concurrency tests for duplicate purchased-point grant attempts.</w:t>
      </w:r>
    </w:p>
    <w:p>
      <w:pPr>
        <w:pStyle w:val="ListBullet"/>
      </w:pPr>
      <w:r>
        <w:t>Negative tests for unverified/failed/cancelled/expired payment.</w:t>
      </w:r>
    </w:p>
    <w:p>
      <w:pPr>
        <w:pStyle w:val="ListBullet"/>
      </w:pPr>
      <w:r>
        <w:t>Assessment tests proving purchased LP cannot bypass mandatory assessment.</w:t>
      </w:r>
    </w:p>
    <w:p>
      <w:pPr>
        <w:pStyle w:val="ListBullet"/>
      </w:pPr>
      <w:r>
        <w:t>Credential/Skill tests proving completion alone does not issue outcomes unless configured.</w:t>
      </w:r>
    </w:p>
    <w:p>
      <w:pPr>
        <w:pStyle w:val="ListBullet"/>
      </w:pPr>
      <w:r>
        <w:t>Configuration-history tests proving historical transactions remain unchanged.</w:t>
      </w:r>
    </w:p>
    <w:p>
      <w:pPr>
        <w:pStyle w:val="ListBullet"/>
      </w:pPr>
      <w:r>
        <w:t>RBAC tests for unauthorized point mutation and configuration/issuance operations.</w:t>
      </w:r>
    </w:p>
    <w:p>
      <w:pPr>
        <w:pStyle w:val="ListBullet"/>
      </w:pPr>
      <w:r>
        <w:t>Reconciliation tests for payment-confirmed/LP-missing, duplicate and mismatch scenarios.</w:t>
      </w:r>
    </w:p>
    <w:p>
      <w:pPr>
        <w:pStyle w:val="Heading1"/>
      </w:pPr>
      <w:r>
        <w:t>17. Failure Handling Pattern</w:t>
      </w:r>
    </w:p>
    <w:p>
      <w:pPr>
        <w:pStyle w:val="ListBullet"/>
      </w:pPr>
      <w:r>
        <w:t>Prefer explicit states such as pending/confirmed/failed/reconcilable exception where the domain requires them.</w:t>
      </w:r>
    </w:p>
    <w:p>
      <w:pPr>
        <w:pStyle w:val="ListBullet"/>
      </w:pPr>
      <w:r>
        <w:t>Never silently discard a confirmed payment because Learning fulfillment failed.</w:t>
      </w:r>
    </w:p>
    <w:p>
      <w:pPr>
        <w:pStyle w:val="ListBullet"/>
      </w:pPr>
      <w:r>
        <w:t>Never compensate a failed payment by issuing LP.</w:t>
      </w:r>
    </w:p>
    <w:p>
      <w:pPr>
        <w:pStyle w:val="ListBullet"/>
      </w:pPr>
      <w:r>
        <w:t>Do not auto-correct reconciliation exceptions without an authorized and auditable remediation policy.</w:t>
      </w:r>
    </w:p>
    <w:p>
      <w:pPr>
        <w:pStyle w:val="ListBullet"/>
      </w:pPr>
      <w:r>
        <w:t>Retry must be idempotent.</w:t>
      </w:r>
    </w:p>
    <w:p>
      <w:pPr>
        <w:pStyle w:val="Heading1"/>
      </w:pPr>
      <w:r>
        <w:t>18. Code Organization / Dependency Direction</w:t>
      </w:r>
    </w:p>
    <w:p>
      <w:pPr>
        <w:pStyle w:val="ListBullet"/>
      </w:pPr>
      <w:r>
        <w:t>Keep Learning Economy domain logic independent from Payment provider adapters.</w:t>
      </w:r>
    </w:p>
    <w:p>
      <w:pPr>
        <w:pStyle w:val="ListBullet"/>
      </w:pPr>
      <w:r>
        <w:t>Keep Awarding integration at an explicit boundary.</w:t>
      </w:r>
    </w:p>
    <w:p>
      <w:pPr>
        <w:pStyle w:val="ListBullet"/>
      </w:pPr>
      <w:r>
        <w:t>Keep RBAC enforcement separate from Learning Point state.</w:t>
      </w:r>
    </w:p>
    <w:p>
      <w:pPr>
        <w:pStyle w:val="ListBullet"/>
      </w:pPr>
      <w:r>
        <w:t>Avoid circular domain dependencies.</w:t>
      </w:r>
    </w:p>
    <w:p>
      <w:pPr>
        <w:pStyle w:val="ListBullet"/>
      </w:pPr>
      <w:r>
        <w:t>Use stable internal contracts for cross-domain communication.</w:t>
      </w:r>
    </w:p>
    <w:p>
      <w:pPr>
        <w:pStyle w:val="ListBullet"/>
      </w:pPr>
      <w:r>
        <w:t>Do not duplicate commercial package/pricing rules inside Learning code when the source of truth belongs to Commercial/Payment.</w:t>
      </w:r>
    </w:p>
    <w:p>
      <w:pPr>
        <w:pStyle w:val="Heading1"/>
      </w:pPr>
      <w:r>
        <w:t>19. Security Guardrails</w:t>
      </w:r>
    </w:p>
    <w:p>
      <w:pPr>
        <w:pStyle w:val="ListBullet"/>
      </w:pPr>
      <w:r>
        <w:t>Client cannot fabricate Confirmed Payment.</w:t>
      </w:r>
    </w:p>
    <w:p>
      <w:pPr>
        <w:pStyle w:val="ListBullet"/>
      </w:pPr>
      <w:r>
        <w:t>Client cannot directly mutate official LP balance or transactions.</w:t>
      </w:r>
    </w:p>
    <w:p>
      <w:pPr>
        <w:pStyle w:val="ListBullet"/>
      </w:pPr>
      <w:r>
        <w:t>Administrative point adjustment requires authorization and audit.</w:t>
      </w:r>
    </w:p>
    <w:p>
      <w:pPr>
        <w:pStyle w:val="ListBullet"/>
      </w:pPr>
      <w:r>
        <w:t>Credential/Skill issuance requires governed authorization.</w:t>
      </w:r>
    </w:p>
    <w:p>
      <w:pPr>
        <w:pStyle w:val="ListBullet"/>
      </w:pPr>
      <w:r>
        <w:t>Partner result operations require partner-scoped authorization.</w:t>
      </w:r>
    </w:p>
    <w:p>
      <w:pPr>
        <w:pStyle w:val="ListBullet"/>
      </w:pPr>
      <w:r>
        <w:t>Sensitive payment/provider data must remain within its owning boundary.</w:t>
      </w:r>
    </w:p>
    <w:p>
      <w:pPr>
        <w:pStyle w:val="Heading1"/>
      </w:pPr>
      <w:r>
        <w:t>20. MADCR-049 Control</w:t>
      </w:r>
    </w:p>
    <w:p>
      <w:pPr>
        <w:pStyle w:val="ListBullet"/>
      </w:pPr>
      <w:r>
        <w:t>Learning Activity engineering may be prepared at capability/guardrail level.</w:t>
      </w:r>
    </w:p>
    <w:p>
      <w:pPr>
        <w:pStyle w:val="ListBullet"/>
      </w:pPr>
      <w:r>
        <w:t>MADCR-049 remains OPEN / RE-EVALUATION.</w:t>
      </w:r>
    </w:p>
    <w:p>
      <w:pPr>
        <w:pStyle w:val="ListBullet"/>
      </w:pPr>
      <w:r>
        <w:t>Do not finalize implementation assumptions that depend on an unresolved authoritative Learning Activity evidence model.</w:t>
      </w:r>
    </w:p>
    <w:p>
      <w:pPr>
        <w:pStyle w:val="ListBullet"/>
      </w:pPr>
      <w:r>
        <w:t>If MADCR-049 changes the authoritative activity model, affected ERD/Schema/API/User Flow/PRD/Engineering artifacts must be reconciled before implementation.</w:t>
      </w:r>
    </w:p>
    <w:p>
      <w:pPr>
        <w:pStyle w:val="Heading1"/>
      </w:pPr>
      <w:r>
        <w:t>21. Implementation Authorization Boundary</w:t>
      </w:r>
    </w:p>
    <w:p>
      <w:pPr>
        <w:pStyle w:val="ListBullet"/>
      </w:pPr>
      <w:r>
        <w:t>This artifact does not authorize physical migration.</w:t>
      </w:r>
    </w:p>
    <w:p>
      <w:pPr>
        <w:pStyle w:val="ListBullet"/>
      </w:pPr>
      <w:r>
        <w:t>It does not authorize production implementation.</w:t>
      </w:r>
    </w:p>
    <w:p>
      <w:pPr>
        <w:pStyle w:val="ListBullet"/>
      </w:pPr>
      <w:r>
        <w:t>It does not authorize final endpoint creation.</w:t>
      </w:r>
    </w:p>
    <w:p>
      <w:pPr>
        <w:pStyle w:val="ListBullet"/>
      </w:pPr>
      <w:r>
        <w:t>It does not authorize final RBAC permission IDs.</w:t>
      </w:r>
    </w:p>
    <w:p>
      <w:pPr>
        <w:pStyle w:val="ListBullet"/>
      </w:pPr>
      <w:r>
        <w:t>It does not authorize provider selection/change.</w:t>
      </w:r>
    </w:p>
    <w:p>
      <w:pPr>
        <w:pStyle w:val="ListBullet"/>
      </w:pPr>
      <w:r>
        <w:t>It does not authorize closing open governance decisions.</w:t>
      </w:r>
    </w:p>
    <w:p>
      <w:pPr>
        <w:pStyle w:val="Heading1"/>
      </w:pPr>
      <w:r>
        <w:t>22. Global Synchronization Deferral</w:t>
      </w:r>
    </w:p>
    <w:p>
      <w:pPr>
        <w:pStyle w:val="ListBullet"/>
      </w:pPr>
      <w:r>
        <w:t>Do not yet rewrite Project Constitution.</w:t>
      </w:r>
    </w:p>
    <w:p>
      <w:pPr>
        <w:pStyle w:val="ListBullet"/>
      </w:pPr>
      <w:r>
        <w:t>Do not yet rewrite System Architecture globally.</w:t>
      </w:r>
    </w:p>
    <w:p>
      <w:pPr>
        <w:pStyle w:val="ListBullet"/>
      </w:pPr>
      <w:r>
        <w:t>Do not yet rewrite Technical Decisions globally.</w:t>
      </w:r>
    </w:p>
    <w:p>
      <w:pPr>
        <w:pStyle w:val="ListBullet"/>
      </w:pPr>
      <w:r>
        <w:t>Do not yet rewrite Dependency Manifest, Project Manifest, Current Project State or Changelog globally.</w:t>
      </w:r>
    </w:p>
    <w:p>
      <w:pPr>
        <w:pStyle w:val="ListBullet"/>
      </w:pPr>
      <w:r>
        <w:t>Those project-wide artifacts receive the Global Technical/Governance Synchronization after AEP #1–#4 are finalized.</w:t>
      </w:r>
    </w:p>
    <w:p>
      <w:pPr>
        <w:pStyle w:val="ListBullet"/>
      </w:pPr>
      <w:r>
        <w:t>Any active contradiction discovered during implementation planning must be recorded and minimally contained; it must not be silently ignored.</w:t>
      </w:r>
    </w:p>
    <w:p>
      <w:pPr>
        <w:pStyle w:val="Heading1"/>
      </w:pPr>
      <w:r>
        <w:t>23. Gate Result</w:t>
      </w:r>
    </w:p>
    <w:p>
      <w:r>
        <w:t>PASS WITH ENGINEERING-GUARDRAIL CONDITION.</w:t>
        <w:br/>
        <w:br/>
        <w:t>The engineering consequences of AEP #2 are sufficiently defined to proceed to Test / Business Rule Traceability. The artifact establishes implementation guardrails while preserving deferred physical/API/RBAC details and the global technical-baseline synchronization gate.</w:t>
      </w:r>
    </w:p>
    <w:p>
      <w:pPr>
        <w:pStyle w:val="Heading1"/>
      </w:pPr>
      <w:r>
        <w:t>24. Next Step</w:t>
      </w:r>
    </w:p>
    <w:p>
      <w:r>
        <w:t>Proceed to AEP #2 Test / Business Rule Traceability Impact. The test stage must verify the locked Learning Economy invariants across business rules, domain behavior, payment integration, authorization, configuration history and reconciliation.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