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AEP #2 — Learning Economy Test / Business Rule Traceability Impact</w:t>
      </w:r>
    </w:p>
    <w:p>
      <w:r>
        <w:t>RumahAgen | Internal Learning / Learning Economy | Controlled Verification Artifact</w:t>
      </w:r>
    </w:p>
    <w:p>
      <w:pPr>
        <w:pStyle w:val="Heading1"/>
      </w:pPr>
      <w:r>
        <w:t>1. Purpose</w:t>
      </w:r>
    </w:p>
    <w:p>
      <w:r>
        <w:t>Verify that the locked AEP #2 Learning Economy decisions and the LE business-rule set have explicit downstream test obligations across domain behavior, ledger/provenance, payment integration, progression, assessment, RBAC, configuration, partnership learning and reconciliation. This artifact is a traceability/coverage specification, not a claim that automated tests already exist or pass.</w:t>
      </w:r>
    </w:p>
    <w:p>
      <w:pPr>
        <w:pStyle w:val="Heading1"/>
      </w:pPr>
      <w:r>
        <w:t>2. Evidence Boundary</w:t>
      </w:r>
    </w:p>
    <w:p>
      <w:pPr>
        <w:pStyle w:val="ListBullet"/>
      </w:pPr>
      <w:r>
        <w:t>Learning Economy Business Rules are the normative source for LE-001–LE-059 behavior.</w:t>
      </w:r>
    </w:p>
    <w:p>
      <w:pPr>
        <w:pStyle w:val="ListBullet"/>
      </w:pPr>
      <w:r>
        <w:t>AEP #2 locked decisions ADR-LE-001–008 define additional architectural invariants.</w:t>
      </w:r>
    </w:p>
    <w:p>
      <w:pPr>
        <w:pStyle w:val="ListBullet"/>
      </w:pPr>
      <w:r>
        <w:t>Approved MADCR-036/037/041/046 and MADCR-011 remain governing cross-domain dependencies.</w:t>
      </w:r>
    </w:p>
    <w:p>
      <w:pPr>
        <w:pStyle w:val="ListBullet"/>
      </w:pPr>
      <w:r>
        <w:t>MADCR-049 remains OPEN / RE-EVALUATION; tests depending on its final authoritative Learning Activity evidence model must remain conditional.</w:t>
      </w:r>
    </w:p>
    <w:p>
      <w:pPr>
        <w:pStyle w:val="ListBullet"/>
      </w:pPr>
      <w:r>
        <w:t>This artifact does not claim current test-suite implementation unless directly evidenced.</w:t>
      </w:r>
    </w:p>
    <w:p>
      <w:pPr>
        <w:pStyle w:val="Heading1"/>
      </w:pPr>
      <w:r>
        <w:t>3. Coverage Status Legend</w:t>
      </w:r>
    </w:p>
    <w:p>
      <w:pPr>
        <w:pStyle w:val="ListBullet"/>
      </w:pPr>
      <w:r>
        <w:t>REQUIRED — explicit test obligation derived from rule/decision.</w:t>
      </w:r>
    </w:p>
    <w:p>
      <w:pPr>
        <w:pStyle w:val="ListBullet"/>
      </w:pPr>
      <w:r>
        <w:t>CROSS-DOMAIN — requires integration/contract coverage.</w:t>
      </w:r>
    </w:p>
    <w:p>
      <w:pPr>
        <w:pStyle w:val="ListBullet"/>
      </w:pPr>
      <w:r>
        <w:t>CONDITIONAL — depends on unresolved MADCR-049 or an implementation detail not yet authorized.</w:t>
      </w:r>
    </w:p>
    <w:p>
      <w:pPr>
        <w:pStyle w:val="ListBullet"/>
      </w:pPr>
      <w:r>
        <w:t>EVIDENCE GAP — source establishes the obligation, but current automated-test evidence was not retrieved; no pass/fail is claimed.</w:t>
      </w:r>
    </w:p>
    <w:p>
      <w:pPr>
        <w:pStyle w:val="Heading1"/>
      </w:pPr>
      <w:r>
        <w:t>4. LE-001–LE-010 — Learning Economy Core</w:t>
      </w:r>
    </w:p>
    <w:p>
      <w:pPr>
        <w:pStyle w:val="ListBullet"/>
      </w:pPr>
      <w:r>
        <w:t>LE-001 Free-to-Learn → REQUIRED: eligible free learning can be consumed without mandatory purchase; paid points are not required where a genuine free path exists.</w:t>
      </w:r>
    </w:p>
    <w:p>
      <w:pPr>
        <w:pStyle w:val="ListBullet"/>
      </w:pPr>
      <w:r>
        <w:t>LE-002 Earn Through Learning → REQUIRED: eligible activity completion can produce configured Earned LP.</w:t>
      </w:r>
    </w:p>
    <w:p>
      <w:pPr>
        <w:pStyle w:val="ListBullet"/>
      </w:pPr>
      <w:r>
        <w:t>LE-003 Pay-to-Accelerate → REQUIRED: Purchased LP can accelerate eligible progression.</w:t>
      </w:r>
    </w:p>
    <w:p>
      <w:pPr>
        <w:pStyle w:val="ListBullet"/>
      </w:pPr>
      <w:r>
        <w:t>LE-004 Never Pay-to-Pass → REQUIRED: Purchased LP never substitutes for mandatory assessment/competency.</w:t>
      </w:r>
    </w:p>
    <w:p>
      <w:pPr>
        <w:pStyle w:val="ListBullet"/>
      </w:pPr>
      <w:r>
        <w:t>LE-005 Prove-to-Certify → REQUIRED: credential/certification requires applicable evidence/assessment rules.</w:t>
      </w:r>
    </w:p>
    <w:p>
      <w:pPr>
        <w:pStyle w:val="ListBullet"/>
      </w:pPr>
      <w:r>
        <w:t>LE-006 LP Transaction-Based → REQUIRED: point history is represented as auditable transactions, not balance-only.</w:t>
      </w:r>
    </w:p>
    <w:p>
      <w:pPr>
        <w:pStyle w:val="ListBullet"/>
      </w:pPr>
      <w:r>
        <w:t>LE-007 Earned Provenance → REQUIRED: earned LP traces to activity/completion/source.</w:t>
      </w:r>
    </w:p>
    <w:p>
      <w:pPr>
        <w:pStyle w:val="ListBullet"/>
      </w:pPr>
      <w:r>
        <w:t>LE-008 Purchased Provenance → REQUIRED: purchased LP traces to confirmed commercial/payment provenance.</w:t>
      </w:r>
    </w:p>
    <w:p>
      <w:pPr>
        <w:pStyle w:val="ListBullet"/>
      </w:pPr>
      <w:r>
        <w:t>LE-009 Redeemed/Used Provenance → REQUIRED: point use is traceable to applicable unlock/redemption action.</w:t>
      </w:r>
    </w:p>
    <w:p>
      <w:pPr>
        <w:pStyle w:val="ListBullet"/>
      </w:pPr>
      <w:r>
        <w:t>LE-010 Point Integrity → REQUIRED: unauthorized or invalid point mutation is rejected and ledger integrity preserved.</w:t>
      </w:r>
    </w:p>
    <w:p>
      <w:pPr>
        <w:pStyle w:val="Heading1"/>
      </w:pPr>
      <w:r>
        <w:t>5. LE-011–LE-018 — Activity / Path / Progression</w:t>
      </w:r>
    </w:p>
    <w:p>
      <w:pPr>
        <w:pStyle w:val="ListBullet"/>
      </w:pPr>
      <w:r>
        <w:t>LE-011 Activity Completion → REQUIRED: completion state is validated before reward.</w:t>
      </w:r>
    </w:p>
    <w:p>
      <w:pPr>
        <w:pStyle w:val="ListBullet"/>
      </w:pPr>
      <w:r>
        <w:t>LE-012 Activity Reward → REQUIRED: reward follows configured rule.</w:t>
      </w:r>
    </w:p>
    <w:p>
      <w:pPr>
        <w:pStyle w:val="ListBullet"/>
      </w:pPr>
      <w:r>
        <w:t>LE-013 Activity Extensibility → REQUIRED: non-video activity type does not break core flow.</w:t>
      </w:r>
    </w:p>
    <w:p>
      <w:pPr>
        <w:pStyle w:val="ListBullet"/>
      </w:pPr>
      <w:r>
        <w:t>LE-014 Completion Evidence → CONDITIONAL where exact evidence model depends on MADCR-049.</w:t>
      </w:r>
    </w:p>
    <w:p>
      <w:pPr>
        <w:pStyle w:val="ListBullet"/>
      </w:pPr>
      <w:r>
        <w:t>LE-015 Learning Path → REQUIRED: path/module/activity progression is coherent.</w:t>
      </w:r>
    </w:p>
    <w:p>
      <w:pPr>
        <w:pStyle w:val="ListBullet"/>
      </w:pPr>
      <w:r>
        <w:t>LE-016 Unlock → REQUIRED: unlock follows applicable configured prerequisites/thresholds.</w:t>
      </w:r>
    </w:p>
    <w:p>
      <w:pPr>
        <w:pStyle w:val="ListBullet"/>
      </w:pPr>
      <w:r>
        <w:t>LE-017 Unlock ≠ Competency → REQUIRED: unlocked content does not imply competency.</w:t>
      </w:r>
    </w:p>
    <w:p>
      <w:pPr>
        <w:pStyle w:val="ListBullet"/>
      </w:pPr>
      <w:r>
        <w:t>LE-018 Progression → REQUIRED: progression state is distinct from LP balance and competency.</w:t>
      </w:r>
    </w:p>
    <w:p>
      <w:pPr>
        <w:pStyle w:val="Heading1"/>
      </w:pPr>
      <w:r>
        <w:t>6. LE-019–LE-023 — Assessment / Competency</w:t>
      </w:r>
    </w:p>
    <w:p>
      <w:pPr>
        <w:pStyle w:val="ListBullet"/>
      </w:pPr>
      <w:r>
        <w:t>LE-019 Assessment Required → REQUIRED: mandatory assessment gate is enforced.</w:t>
      </w:r>
    </w:p>
    <w:p>
      <w:pPr>
        <w:pStyle w:val="ListBullet"/>
      </w:pPr>
      <w:r>
        <w:t>LE-020 Assessment Independence → REQUIRED: assessment result is independent of LP balance.</w:t>
      </w:r>
    </w:p>
    <w:p>
      <w:pPr>
        <w:pStyle w:val="ListBullet"/>
      </w:pPr>
      <w:r>
        <w:t>LE-021 Assessment Attempt/Result → REQUIRED: attempts/results are recorded according to rule.</w:t>
      </w:r>
    </w:p>
    <w:p>
      <w:pPr>
        <w:pStyle w:val="ListBullet"/>
      </w:pPr>
      <w:r>
        <w:t>LE-022 Competency Evidence → REQUIRED: competency requires applicable evidence.</w:t>
      </w:r>
    </w:p>
    <w:p>
      <w:pPr>
        <w:pStyle w:val="ListBullet"/>
      </w:pPr>
      <w:r>
        <w:t>LE-023 No Paid Pass → REQUIRED/CROSS-DOMAIN: payment or Purchased LP cannot manufacture assessment pass.</w:t>
      </w:r>
    </w:p>
    <w:p>
      <w:pPr>
        <w:pStyle w:val="Heading1"/>
      </w:pPr>
      <w:r>
        <w:t>7. LE-024–LE-032 — Skill / Credential / Title Boundary</w:t>
      </w:r>
    </w:p>
    <w:p>
      <w:pPr>
        <w:pStyle w:val="ListBullet"/>
      </w:pPr>
      <w:r>
        <w:t>LE-024 Skill Definition → REQUIRED: Skill remains distinct from completion.</w:t>
      </w:r>
    </w:p>
    <w:p>
      <w:pPr>
        <w:pStyle w:val="ListBullet"/>
      </w:pPr>
      <w:r>
        <w:t>LE-025 Skill Verification → REQUIRED: governed verification is required.</w:t>
      </w:r>
    </w:p>
    <w:p>
      <w:pPr>
        <w:pStyle w:val="ListBullet"/>
      </w:pPr>
      <w:r>
        <w:t>LE-026 Credential Definition → REQUIRED: Credential remains distinct from Skill where applicable.</w:t>
      </w:r>
    </w:p>
    <w:p>
      <w:pPr>
        <w:pStyle w:val="ListBullet"/>
      </w:pPr>
      <w:r>
        <w:t>LE-027 Credential Issuance → REQUIRED: governed issuance cannot rely only on client completion.</w:t>
      </w:r>
    </w:p>
    <w:p>
      <w:pPr>
        <w:pStyle w:val="ListBullet"/>
      </w:pPr>
      <w:r>
        <w:t>LE-028 Title Separation → REQUIRED: Credential does not equal Title/Award Instance.</w:t>
      </w:r>
    </w:p>
    <w:p>
      <w:pPr>
        <w:pStyle w:val="ListBullet"/>
      </w:pPr>
      <w:r>
        <w:t>LE-029 Learning-to-Award Evidence → CROSS-DOMAIN: learning evidence reaches Awarding through governed boundary.</w:t>
      </w:r>
    </w:p>
    <w:p>
      <w:pPr>
        <w:pStyle w:val="ListBullet"/>
      </w:pPr>
      <w:r>
        <w:t>LE-030 Awarding Path Version → CROSS-DOMAIN: learning contribution preserves Awarding Path Version.</w:t>
      </w:r>
    </w:p>
    <w:p>
      <w:pPr>
        <w:pStyle w:val="ListBullet"/>
      </w:pPr>
      <w:r>
        <w:t>LE-031 Awarding Rule Version → CROSS-DOMAIN: learning contribution preserves Awarding Rule Version.</w:t>
      </w:r>
    </w:p>
    <w:p>
      <w:pPr>
        <w:pStyle w:val="ListBullet"/>
      </w:pPr>
      <w:r>
        <w:t>LE-032 LP Not Universal Title Prerequisite → REQUIRED: accumulation of LP alone does not imply Title eligibility.</w:t>
      </w:r>
    </w:p>
    <w:p>
      <w:pPr>
        <w:pStyle w:val="Heading1"/>
      </w:pPr>
      <w:r>
        <w:t>8. LE-033–LE-036 — Partnership Learning</w:t>
      </w:r>
    </w:p>
    <w:p>
      <w:pPr>
        <w:pStyle w:val="ListBullet"/>
      </w:pPr>
      <w:r>
        <w:t>LE-033 Partnership Model Separation → REQUIRED: partner learning is not forced into Internal Learning Economy.</w:t>
      </w:r>
    </w:p>
    <w:p>
      <w:pPr>
        <w:pStyle w:val="ListBullet"/>
      </w:pPr>
      <w:r>
        <w:t>LE-034 Partner Provenance → REQUIRED: partner/provider source remains traceable.</w:t>
      </w:r>
    </w:p>
    <w:p>
      <w:pPr>
        <w:pStyle w:val="ListBullet"/>
      </w:pPr>
      <w:r>
        <w:t>LE-035 Partner Credential Separation → REQUIRED: partner credential does not silently become Internal Verified Skill.</w:t>
      </w:r>
    </w:p>
    <w:p>
      <w:pPr>
        <w:pStyle w:val="ListBullet"/>
      </w:pPr>
      <w:r>
        <w:t>LE-036 Partner Recognition → CROSS-DOMAIN: recognized partner evidence follows explicit configured recognition/Awarding rule.</w:t>
      </w:r>
    </w:p>
    <w:p>
      <w:pPr>
        <w:pStyle w:val="Heading1"/>
      </w:pPr>
      <w:r>
        <w:t>9. LE-037–LE-042 — Payment / Purchased LP</w:t>
      </w:r>
    </w:p>
    <w:p>
      <w:pPr>
        <w:pStyle w:val="ListBullet"/>
      </w:pPr>
      <w:r>
        <w:t>LE-037 Payment Ownership → CROSS-DOMAIN: Payment remains Commercial-owned.</w:t>
      </w:r>
    </w:p>
    <w:p>
      <w:pPr>
        <w:pStyle w:val="ListBullet"/>
      </w:pPr>
      <w:r>
        <w:t>LE-038 Confirmed Payment Required → CROSS-DOMAIN: only verified Confirmed Payment can trigger purchased LP grant.</w:t>
      </w:r>
    </w:p>
    <w:p>
      <w:pPr>
        <w:pStyle w:val="ListBullet"/>
      </w:pPr>
      <w:r>
        <w:t>LE-039 Purchased LP Grant → REQUIRED: confirmed purchase produces correct configured purchased-point transaction.</w:t>
      </w:r>
    </w:p>
    <w:p>
      <w:pPr>
        <w:pStyle w:val="ListBullet"/>
      </w:pPr>
      <w:r>
        <w:t>LE-040 Idempotent Grant → REQUIRED/CROSS-DOMAIN: duplicate callback/retry produces no duplicate confirmed grant.</w:t>
      </w:r>
    </w:p>
    <w:p>
      <w:pPr>
        <w:pStyle w:val="ListBullet"/>
      </w:pPr>
      <w:r>
        <w:t>LE-041 Historical Purchase Integrity → REQUIRED: later package/price/bonus configuration cannot rewrite historical purchase outcome.</w:t>
      </w:r>
    </w:p>
    <w:p>
      <w:pPr>
        <w:pStyle w:val="ListBullet"/>
      </w:pPr>
      <w:r>
        <w:t>LE-042 Reconciliation → CROSS-DOMAIN: payment-confirmed/LP-missing, duplicate and mismatch states are detectable/reconcilable.</w:t>
      </w:r>
    </w:p>
    <w:p>
      <w:pPr>
        <w:pStyle w:val="Heading1"/>
      </w:pPr>
      <w:r>
        <w:t>10. LE-043–LE-047 — RBAC / Issuance</w:t>
      </w:r>
    </w:p>
    <w:p>
      <w:pPr>
        <w:pStyle w:val="ListBullet"/>
      </w:pPr>
      <w:r>
        <w:t>LE-043 Learner Restriction → REQUIRED: learner cannot directly create official LP transactions or mutate balance.</w:t>
      </w:r>
    </w:p>
    <w:p>
      <w:pPr>
        <w:pStyle w:val="ListBullet"/>
      </w:pPr>
      <w:r>
        <w:t>LE-044 Configuration Authority → REQUIRED: only authorized roles can manage Learning Economy configuration.</w:t>
      </w:r>
    </w:p>
    <w:p>
      <w:pPr>
        <w:pStyle w:val="ListBullet"/>
      </w:pPr>
      <w:r>
        <w:t>LE-045 Manual Adjustment → REQUIRED: authorized role + reason + audit/provenance.</w:t>
      </w:r>
    </w:p>
    <w:p>
      <w:pPr>
        <w:pStyle w:val="ListBullet"/>
      </w:pPr>
      <w:r>
        <w:t>LE-046 Assessment Authority → REQUIRED: assessment/reviewer capability is separate from learner activity.</w:t>
      </w:r>
    </w:p>
    <w:p>
      <w:pPr>
        <w:pStyle w:val="ListBullet"/>
      </w:pPr>
      <w:r>
        <w:t>LE-047 Skill/Credential Authority → REQUIRED: governed issuance authorization; client completion alone is insufficient.</w:t>
      </w:r>
    </w:p>
    <w:p>
      <w:pPr>
        <w:pStyle w:val="Heading1"/>
      </w:pPr>
      <w:r>
        <w:t>11. LE-048–LE-052 — Audit / Provenance</w:t>
      </w:r>
    </w:p>
    <w:p>
      <w:pPr>
        <w:pStyle w:val="ListBullet"/>
      </w:pPr>
      <w:r>
        <w:t>LE-048 Learning Auditability → REQUIRED: important learning state changes are auditable.</w:t>
      </w:r>
    </w:p>
    <w:p>
      <w:pPr>
        <w:pStyle w:val="ListBullet"/>
      </w:pPr>
      <w:r>
        <w:t>LE-049 Point Provenance → REQUIRED: transaction source is explainable.</w:t>
      </w:r>
    </w:p>
    <w:p>
      <w:pPr>
        <w:pStyle w:val="ListBullet"/>
      </w:pPr>
      <w:r>
        <w:t>LE-050 Assessment Provenance → REQUIRED: competency outcome traces to assessment/evidence.</w:t>
      </w:r>
    </w:p>
    <w:p>
      <w:pPr>
        <w:pStyle w:val="ListBullet"/>
      </w:pPr>
      <w:r>
        <w:t>LE-051 Partner Provenance → REQUIRED: partner outcome source is retained.</w:t>
      </w:r>
    </w:p>
    <w:p>
      <w:pPr>
        <w:pStyle w:val="ListBullet"/>
      </w:pPr>
      <w:r>
        <w:t>LE-052 Awarding Provenance → CROSS-DOMAIN: learning-based award qualification remains traceable through Awarding path/rule context.</w:t>
      </w:r>
    </w:p>
    <w:p>
      <w:pPr>
        <w:pStyle w:val="Heading1"/>
      </w:pPr>
      <w:r>
        <w:t>12. LE-053–LE-055 — Configuration / History</w:t>
      </w:r>
    </w:p>
    <w:p>
      <w:pPr>
        <w:pStyle w:val="ListBullet"/>
      </w:pPr>
      <w:r>
        <w:t>LE-053 Configurable Economy Parameters → REQUIRED: configured reward/threshold/package/price/bonus/limits/rules are data-driven where specified.</w:t>
      </w:r>
    </w:p>
    <w:p>
      <w:pPr>
        <w:pStyle w:val="ListBullet"/>
      </w:pPr>
      <w:r>
        <w:t>LE-054 Configuration Does Not Rewrite History → REQUIRED: historical transactions/outcomes remain unchanged.</w:t>
      </w:r>
    </w:p>
    <w:p>
      <w:pPr>
        <w:pStyle w:val="ListBullet"/>
      </w:pPr>
      <w:r>
        <w:t>LE-055 Configuration Audit → REQUIRED: configuration changes are authorized/auditable.</w:t>
      </w:r>
    </w:p>
    <w:p>
      <w:pPr>
        <w:pStyle w:val="Heading1"/>
      </w:pPr>
      <w:r>
        <w:t>13. LE-056–LE-059 — Failure / Idempotency / Reconciliation</w:t>
      </w:r>
    </w:p>
    <w:p>
      <w:pPr>
        <w:pStyle w:val="ListBullet"/>
      </w:pPr>
      <w:r>
        <w:t>LE-056 Failure Safety → REQUIRED: failed/unverified payment does not create confirmed purchased LP.</w:t>
      </w:r>
    </w:p>
    <w:p>
      <w:pPr>
        <w:pStyle w:val="ListBullet"/>
      </w:pPr>
      <w:r>
        <w:t>LE-057 Retry Safety → REQUIRED: retries are idempotent.</w:t>
      </w:r>
    </w:p>
    <w:p>
      <w:pPr>
        <w:pStyle w:val="ListBullet"/>
      </w:pPr>
      <w:r>
        <w:t>LE-058 Reconciliation Exception → CROSS-DOMAIN: confirmed payment with failed grant remains detectable.</w:t>
      </w:r>
    </w:p>
    <w:p>
      <w:pPr>
        <w:pStyle w:val="ListBullet"/>
      </w:pPr>
      <w:r>
        <w:t>LE-059 Mismatch Detection → CROSS-DOMAIN: inconsistent payment/LP/provenance state is detectable.</w:t>
      </w:r>
    </w:p>
    <w:p>
      <w:pPr>
        <w:pStyle w:val="Heading1"/>
      </w:pPr>
      <w:r>
        <w:t>14. ADR-LE-001–008 Traceability</w:t>
      </w:r>
    </w:p>
    <w:p>
      <w:pPr>
        <w:pStyle w:val="ListBullet"/>
      </w:pPr>
      <w:r>
        <w:t>ADR-LE-001 → transaction/ledger tests, balance reconstruction/audit tests.</w:t>
      </w:r>
    </w:p>
    <w:p>
      <w:pPr>
        <w:pStyle w:val="ListBullet"/>
      </w:pPr>
      <w:r>
        <w:t>ADR-LE-002 → earned-vs-purchased provenance tests.</w:t>
      </w:r>
    </w:p>
    <w:p>
      <w:pPr>
        <w:pStyle w:val="ListBullet"/>
      </w:pPr>
      <w:r>
        <w:t>ADR-LE-003 → pay-to-accelerate/no-pay-to-pass tests.</w:t>
      </w:r>
    </w:p>
    <w:p>
      <w:pPr>
        <w:pStyle w:val="ListBullet"/>
      </w:pPr>
      <w:r>
        <w:t>ADR-LE-004 → Internal vs Partnership boundary tests.</w:t>
      </w:r>
    </w:p>
    <w:p>
      <w:pPr>
        <w:pStyle w:val="ListBullet"/>
      </w:pPr>
      <w:r>
        <w:t>ADR-LE-005 → provider-independent Payment↔Learning integration tests.</w:t>
      </w:r>
    </w:p>
    <w:p>
      <w:pPr>
        <w:pStyle w:val="ListBullet"/>
      </w:pPr>
      <w:r>
        <w:t>ADR-LE-006 → completion/Skill/Credential separation tests.</w:t>
      </w:r>
    </w:p>
    <w:p>
      <w:pPr>
        <w:pStyle w:val="ListBullet"/>
      </w:pPr>
      <w:r>
        <w:t>ADR-LE-007 → duplicate callback/concurrent grant/idempotency tests.</w:t>
      </w:r>
    </w:p>
    <w:p>
      <w:pPr>
        <w:pStyle w:val="ListBullet"/>
      </w:pPr>
      <w:r>
        <w:t>ADR-LE-008 → configuration change/history integrity tests.</w:t>
      </w:r>
    </w:p>
    <w:p>
      <w:pPr>
        <w:pStyle w:val="Heading1"/>
      </w:pPr>
      <w:r>
        <w:t>15. High-Priority End-to-End Scenarios</w:t>
      </w:r>
    </w:p>
    <w:p>
      <w:pPr>
        <w:pStyle w:val="ListBullet"/>
      </w:pPr>
      <w:r>
        <w:t>E2E-01: Free activity → validated completion → Earned LP → ledger entry → progression.</w:t>
      </w:r>
    </w:p>
    <w:p>
      <w:pPr>
        <w:pStyle w:val="ListBullet"/>
      </w:pPr>
      <w:r>
        <w:t>E2E-02: Purchased LP → confirmed payment → one Purchased LP grant → ledger/provenance.</w:t>
      </w:r>
    </w:p>
    <w:p>
      <w:pPr>
        <w:pStyle w:val="ListBullet"/>
      </w:pPr>
      <w:r>
        <w:t>E2E-03: Same payment callback delivered repeatedly → exactly one confirmed grant.</w:t>
      </w:r>
    </w:p>
    <w:p>
      <w:pPr>
        <w:pStyle w:val="ListBullet"/>
      </w:pPr>
      <w:r>
        <w:t>E2E-04: Two concurrent grant attempts for same confirmed payment → exactly one economic grant.</w:t>
      </w:r>
    </w:p>
    <w:p>
      <w:pPr>
        <w:pStyle w:val="ListBullet"/>
      </w:pPr>
      <w:r>
        <w:t>E2E-05: Payment failed/cancelled/expired/unverified → no confirmed Purchased LP.</w:t>
      </w:r>
    </w:p>
    <w:p>
      <w:pPr>
        <w:pStyle w:val="ListBullet"/>
      </w:pPr>
      <w:r>
        <w:t>E2E-06: Payment confirmed + Learning grant failure → reconcilable exception, safe retry.</w:t>
      </w:r>
    </w:p>
    <w:p>
      <w:pPr>
        <w:pStyle w:val="ListBullet"/>
      </w:pPr>
      <w:r>
        <w:t>E2E-07: Purchased LP present + mandatory assessment → assessment still required.</w:t>
      </w:r>
    </w:p>
    <w:p>
      <w:pPr>
        <w:pStyle w:val="ListBullet"/>
      </w:pPr>
      <w:r>
        <w:t>E2E-08: Activity completion + no qualifying competency rule → no automatic Skill/Credential.</w:t>
      </w:r>
    </w:p>
    <w:p>
      <w:pPr>
        <w:pStyle w:val="ListBullet"/>
      </w:pPr>
      <w:r>
        <w:t>E2E-09: Later configuration change → historical LP transaction/purchase unchanged.</w:t>
      </w:r>
    </w:p>
    <w:p>
      <w:pPr>
        <w:pStyle w:val="ListBullet"/>
      </w:pPr>
      <w:r>
        <w:t>E2E-10: Partner credential recorded → partner provenance retained; no silent Internal Skill conversion.</w:t>
      </w:r>
    </w:p>
    <w:p>
      <w:pPr>
        <w:pStyle w:val="ListBullet"/>
      </w:pPr>
      <w:r>
        <w:t>E2E-11: Unauthorized learner LP mutation → rejected.</w:t>
      </w:r>
    </w:p>
    <w:p>
      <w:pPr>
        <w:pStyle w:val="ListBullet"/>
      </w:pPr>
      <w:r>
        <w:t>E2E-12: Learning-based Title qualification → Awarding Path/Rule version provenance preserved.</w:t>
      </w:r>
    </w:p>
    <w:p>
      <w:pPr>
        <w:pStyle w:val="Heading1"/>
      </w:pPr>
      <w:r>
        <w:t>16. Regression Areas</w:t>
      </w:r>
    </w:p>
    <w:p>
      <w:pPr>
        <w:pStyle w:val="ListBullet"/>
      </w:pPr>
      <w:r>
        <w:t>Commercial/Payment: payment confirmation and reconciliation must remain compatible with existing M14 behavior.</w:t>
      </w:r>
    </w:p>
    <w:p>
      <w:pPr>
        <w:pStyle w:val="ListBullet"/>
      </w:pPr>
      <w:r>
        <w:t>Entitlement: Learning Points must not be conflated with Commercial Entitlement.</w:t>
      </w:r>
    </w:p>
    <w:p>
      <w:pPr>
        <w:pStyle w:val="ListBullet"/>
      </w:pPr>
      <w:r>
        <w:t>Awarding: Title/Award Instance and Credential boundaries remain intact.</w:t>
      </w:r>
    </w:p>
    <w:p>
      <w:pPr>
        <w:pStyle w:val="ListBullet"/>
      </w:pPr>
      <w:r>
        <w:t>RBAC: new Learning capabilities must not weaken existing authorization.</w:t>
      </w:r>
    </w:p>
    <w:p>
      <w:pPr>
        <w:pStyle w:val="ListBullet"/>
      </w:pPr>
      <w:r>
        <w:t>Agent Profile: aggregated outcomes retain provenance.</w:t>
      </w:r>
    </w:p>
    <w:p>
      <w:pPr>
        <w:pStyle w:val="ListBullet"/>
      </w:pPr>
      <w:r>
        <w:t>Configuration: historical records remain immutable with respect to later configuration changes.</w:t>
      </w:r>
    </w:p>
    <w:p>
      <w:pPr>
        <w:pStyle w:val="Heading1"/>
      </w:pPr>
      <w:r>
        <w:t>17. MADCR-049 Conditional Coverage</w:t>
      </w:r>
    </w:p>
    <w:p>
      <w:pPr>
        <w:pStyle w:val="ListBullet"/>
      </w:pPr>
      <w:r>
        <w:t>Tests of the conceptual Activity/Completion flow are required because the Learning Economy rules depend on it.</w:t>
      </w:r>
    </w:p>
    <w:p>
      <w:pPr>
        <w:pStyle w:val="ListBullet"/>
      </w:pPr>
      <w:r>
        <w:t>Exact evidence assertions remain CONDITIONAL until MADCR-049 is resolved.</w:t>
      </w:r>
    </w:p>
    <w:p>
      <w:pPr>
        <w:pStyle w:val="ListBullet"/>
      </w:pPr>
      <w:r>
        <w:t>No test result may be interpreted as evidence that MADCR-049 itself is closed.</w:t>
      </w:r>
    </w:p>
    <w:p>
      <w:pPr>
        <w:pStyle w:val="Heading1"/>
      </w:pPr>
      <w:r>
        <w:t>18. Current Test Evidence Status</w:t>
      </w:r>
    </w:p>
    <w:p>
      <w:r>
        <w:t>This artifact defines required coverage. It does not assert that the current repository/project test suite contains these cases or that they pass. Existing test evidence must be retrieved and mapped separately during implementation/quality reconciliation.</w:t>
      </w:r>
    </w:p>
    <w:p>
      <w:pPr>
        <w:pStyle w:val="Heading1"/>
      </w:pPr>
      <w:r>
        <w:t>19. Gate Result</w:t>
      </w:r>
    </w:p>
    <w:p>
      <w:r>
        <w:t>PASS WITH TRACEABILITY COVERAGE DEFINED + TEST-EVIDENCE RESIDUAL. LE-001–LE-059 and ADR-LE-001–008 now have explicit test obligations. Cross-domain dependencies are identified. MADCR-049 remains conditional. Actual automated-test implementation/pass status remains an evidence gap until the current test artifacts are inspected.</w:t>
      </w:r>
    </w:p>
    <w:p>
      <w:pPr>
        <w:pStyle w:val="Heading1"/>
      </w:pPr>
      <w:r>
        <w:t>20. Next Step</w:t>
      </w:r>
    </w:p>
    <w:p>
      <w:r>
        <w:t>Proceed to AEP #2 Cross-Document Traceability / Reconciliation Audit, where all completed AEP #2 impact artifacts are reconciled against each other and against the identified project-source evidence before the AEP #2 final synchronization gate.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