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AEP #2 — Cross-Document Traceability / Reconciliation Audit</w:t>
      </w:r>
    </w:p>
    <w:p>
      <w:r>
        <w:t>RumahAgen | Learning Economy | AEP #2 Synchronization Gate</w:t>
      </w:r>
    </w:p>
    <w:p>
      <w:pPr>
        <w:pStyle w:val="Heading1"/>
      </w:pPr>
      <w:r>
        <w:t>1. Purpose</w:t>
      </w:r>
    </w:p>
    <w:p>
      <w:r>
        <w:t>Perform a consistency audit across the completed AEP #2 synchronization artifacts and their governing source evidence before the AEP #2 final synchronization gate. The audit checks decision identity, terminology, scope, governance status, downstream consistency, residuals and traceability. It does not silently correct contradictions.</w:t>
      </w:r>
    </w:p>
    <w:p>
      <w:pPr>
        <w:pStyle w:val="Heading1"/>
      </w:pPr>
      <w:r>
        <w:t>2. Artifacts Audited</w:t>
      </w:r>
    </w:p>
    <w:p>
      <w:pPr>
        <w:pStyle w:val="ListBullet"/>
      </w:pPr>
      <w:r>
        <w:t>AEP2_Impact_01_Governance_ADR_Reconciliation</w:t>
      </w:r>
    </w:p>
    <w:p>
      <w:pPr>
        <w:pStyle w:val="ListBullet"/>
      </w:pPr>
      <w:r>
        <w:t>AEP2_Impact_02_Decision_Formalization_LE001_LE008</w:t>
      </w:r>
    </w:p>
    <w:p>
      <w:pPr>
        <w:pStyle w:val="ListBullet"/>
      </w:pPr>
      <w:r>
        <w:t>AEP2_Impact_03_Learning_Economy_Domain_Architecture_Impact</w:t>
      </w:r>
    </w:p>
    <w:p>
      <w:pPr>
        <w:pStyle w:val="ListBullet"/>
      </w:pPr>
      <w:r>
        <w:t>AEP2_Impact_04_ERD_Entity_Relationship_Impact</w:t>
      </w:r>
    </w:p>
    <w:p>
      <w:pPr>
        <w:pStyle w:val="ListBullet"/>
      </w:pPr>
      <w:r>
        <w:t>AEP2_Impact_05_Schema_Database_Impact_Specification</w:t>
      </w:r>
    </w:p>
    <w:p>
      <w:pPr>
        <w:pStyle w:val="ListBullet"/>
      </w:pPr>
      <w:r>
        <w:t>AEP2_Impact_06_Payment_Learning_Integration_Contract_Impact</w:t>
      </w:r>
    </w:p>
    <w:p>
      <w:pPr>
        <w:pStyle w:val="ListBullet"/>
      </w:pPr>
      <w:r>
        <w:t>AEP2_Impact_07_API_Impact_Specification</w:t>
      </w:r>
    </w:p>
    <w:p>
      <w:pPr>
        <w:pStyle w:val="ListBullet"/>
      </w:pPr>
      <w:r>
        <w:t>AEP2_Impact_08_RBAC_Permission_Impact_Specification</w:t>
      </w:r>
    </w:p>
    <w:p>
      <w:pPr>
        <w:pStyle w:val="ListBullet"/>
      </w:pPr>
      <w:r>
        <w:t>AEP2_Impact_09_User_Flow_Impact_Specification</w:t>
      </w:r>
    </w:p>
    <w:p>
      <w:pPr>
        <w:pStyle w:val="ListBullet"/>
      </w:pPr>
      <w:r>
        <w:t>AEP2_Impact_10_PRD_Impact_Specification</w:t>
      </w:r>
    </w:p>
    <w:p>
      <w:pPr>
        <w:pStyle w:val="ListBullet"/>
      </w:pPr>
      <w:r>
        <w:t>AEP2_Impact_11_Engineering_Guidebook_Playbook_Impact</w:t>
      </w:r>
    </w:p>
    <w:p>
      <w:pPr>
        <w:pStyle w:val="ListBullet"/>
      </w:pPr>
      <w:r>
        <w:t>AEP2_Impact_12_Test_Business_Rule_Traceability</w:t>
      </w:r>
    </w:p>
    <w:p>
      <w:pPr>
        <w:pStyle w:val="ListBullet"/>
      </w:pPr>
      <w:r>
        <w:t>AEP Synchronization Execution Lock v1.0</w:t>
      </w:r>
    </w:p>
    <w:p>
      <w:pPr>
        <w:pStyle w:val="ListBullet"/>
      </w:pPr>
      <w:r>
        <w:t>Batch-1 post-approval/reconciliation and downstream-alignment evidence relevant to MADCR-036/037/041/046/010/011/049.</w:t>
      </w:r>
    </w:p>
    <w:p>
      <w:pPr>
        <w:pStyle w:val="Heading1"/>
      </w:pPr>
      <w:r>
        <w:t>3. Governing Baseline Confirmed</w:t>
      </w:r>
    </w:p>
    <w:p>
      <w:pPr>
        <w:pStyle w:val="ListBullet"/>
      </w:pPr>
      <w:r>
        <w:t>AEP #2 scope is Internal Learning Economy; Partnership Learning remains a separate economic model.</w:t>
      </w:r>
    </w:p>
    <w:p>
      <w:pPr>
        <w:pStyle w:val="ListBullet"/>
      </w:pPr>
      <w:r>
        <w:t>Learning Session remains outside AEP #2 core synchronization and is deferred to AEP #4.</w:t>
      </w:r>
    </w:p>
    <w:p>
      <w:pPr>
        <w:pStyle w:val="ListBullet"/>
      </w:pPr>
      <w:r>
        <w:t>MADCR-036, MADCR-037, MADCR-041, MADCR-046, MADCR-010 and MADCR-011 are treated as approved/governing and are not reopened.</w:t>
      </w:r>
    </w:p>
    <w:p>
      <w:pPr>
        <w:pStyle w:val="ListBullet"/>
      </w:pPr>
      <w:r>
        <w:t>MADCR-049 remains OPEN / RE-EVALUATION and is not silently closed.</w:t>
      </w:r>
    </w:p>
    <w:p>
      <w:pPr>
        <w:pStyle w:val="ListBullet"/>
      </w:pPr>
      <w:r>
        <w:t>Learning Points are a transaction/provenance domain; Purchased and Earned provenance remain distinct.</w:t>
      </w:r>
    </w:p>
    <w:p>
      <w:pPr>
        <w:pStyle w:val="ListBullet"/>
      </w:pPr>
      <w:r>
        <w:t>Pay-to-Accelerate does not become Pay-to-Pass.</w:t>
      </w:r>
    </w:p>
    <w:p>
      <w:pPr>
        <w:pStyle w:val="ListBullet"/>
      </w:pPr>
      <w:r>
        <w:t>Completion does not automatically equal Skill/Credential.</w:t>
      </w:r>
    </w:p>
    <w:p>
      <w:pPr>
        <w:pStyle w:val="ListBullet"/>
      </w:pPr>
      <w:r>
        <w:t>Payment remains Commercial-owned; Learning consumes confirmed payment outcome.</w:t>
      </w:r>
    </w:p>
    <w:p>
      <w:pPr>
        <w:pStyle w:val="ListBullet"/>
      </w:pPr>
      <w:r>
        <w:t>Configuration is data-driven and does not rewrite history.</w:t>
      </w:r>
    </w:p>
    <w:p>
      <w:pPr>
        <w:pStyle w:val="Heading1"/>
      </w:pPr>
      <w:r>
        <w:t>4. Cross-Artifact Consistency Results</w:t>
      </w:r>
    </w:p>
    <w:p>
      <w:pPr>
        <w:pStyle w:val="ListBullet"/>
      </w:pPr>
      <w:r>
        <w:t>Domain boundary: CONSISTENT.</w:t>
      </w:r>
    </w:p>
    <w:p>
      <w:pPr>
        <w:pStyle w:val="ListBullet"/>
      </w:pPr>
      <w:r>
        <w:t>Internal vs Partnership Learning boundary: CONSISTENT.</w:t>
      </w:r>
    </w:p>
    <w:p>
      <w:pPr>
        <w:pStyle w:val="ListBullet"/>
      </w:pPr>
      <w:r>
        <w:t>Learning Point ledger/provenance model: CONSISTENT.</w:t>
      </w:r>
    </w:p>
    <w:p>
      <w:pPr>
        <w:pStyle w:val="ListBullet"/>
      </w:pPr>
      <w:r>
        <w:t>Earned vs Purchased provenance: CONSISTENT.</w:t>
      </w:r>
    </w:p>
    <w:p>
      <w:pPr>
        <w:pStyle w:val="ListBullet"/>
      </w:pPr>
      <w:r>
        <w:t>Payment ownership boundary: CONSISTENT.</w:t>
      </w:r>
    </w:p>
    <w:p>
      <w:pPr>
        <w:pStyle w:val="ListBullet"/>
      </w:pPr>
      <w:r>
        <w:t>Idempotent purchased-point grant: CONSISTENT.</w:t>
      </w:r>
    </w:p>
    <w:p>
      <w:pPr>
        <w:pStyle w:val="ListBullet"/>
      </w:pPr>
      <w:r>
        <w:t>Assessment/competency separation: CONSISTENT.</w:t>
      </w:r>
    </w:p>
    <w:p>
      <w:pPr>
        <w:pStyle w:val="ListBullet"/>
      </w:pPr>
      <w:r>
        <w:t>Skill/Credential vs completion separation: CONSISTENT.</w:t>
      </w:r>
    </w:p>
    <w:p>
      <w:pPr>
        <w:pStyle w:val="ListBullet"/>
      </w:pPr>
      <w:r>
        <w:t>Title/Awarding separation/version provenance: CONSISTENT.</w:t>
      </w:r>
    </w:p>
    <w:p>
      <w:pPr>
        <w:pStyle w:val="ListBullet"/>
      </w:pPr>
      <w:r>
        <w:t>RBAC vs Learning Point authority separation: CONSISTENT.</w:t>
      </w:r>
    </w:p>
    <w:p>
      <w:pPr>
        <w:pStyle w:val="ListBullet"/>
      </w:pPr>
      <w:r>
        <w:t>Configuration/history integrity: CONSISTENT.</w:t>
      </w:r>
    </w:p>
    <w:p>
      <w:pPr>
        <w:pStyle w:val="ListBullet"/>
      </w:pPr>
      <w:r>
        <w:t>Failure/reconciliation model: CONSISTENT.</w:t>
      </w:r>
    </w:p>
    <w:p>
      <w:pPr>
        <w:pStyle w:val="ListBullet"/>
      </w:pPr>
      <w:r>
        <w:t>Global synchronization deferral: CONSISTENT.</w:t>
      </w:r>
    </w:p>
    <w:p>
      <w:pPr>
        <w:pStyle w:val="ListBullet"/>
      </w:pPr>
      <w:r>
        <w:t>MADCR-049 residual treatment: CONSISTENT.</w:t>
      </w:r>
    </w:p>
    <w:p>
      <w:pPr>
        <w:pStyle w:val="Heading1"/>
      </w:pPr>
      <w:r>
        <w:t>5. CRITICAL FINDING — ADR-LE-005 Status Drift</w:t>
      </w:r>
    </w:p>
    <w:p>
      <w:pPr>
        <w:pStyle w:val="ListBullet"/>
      </w:pPr>
      <w:r>
        <w:t>The formal Decision Closure artifact explicitly formalizes ADR-LE-001, 002, 003, 004, 006, 007 and 008 as LOCKED BY USER DECISION; ADR-LE-005 is not included in that locked decision register. fileciteturn39file2turn39file8</w:t>
      </w:r>
    </w:p>
    <w:p>
      <w:pPr>
        <w:pStyle w:val="ListBullet"/>
      </w:pPr>
      <w:r>
        <w:t>The original Governance/ADR Reconciliation identifies ADR-LE-005 as a candidate: Learning does not directly own Payment Gateway logic. fileciteturn39file18</w:t>
      </w:r>
    </w:p>
    <w:p>
      <w:pPr>
        <w:pStyle w:val="ListBullet"/>
      </w:pPr>
      <w:r>
        <w:t>However, later downstream artifacts sometimes describe the governing input as 'locked ADR-LE-001–008' or otherwise use ADR-LE-005 as though it had the same locked status.</w:t>
      </w:r>
    </w:p>
    <w:p>
      <w:pPr>
        <w:pStyle w:val="ListBullet"/>
      </w:pPr>
      <w:r>
        <w:t>The underlying boundary itself is source-supported by MADCR-011 and is consistent with the approved Payment placement. fileciteturn39file0turn39file13</w:t>
      </w:r>
    </w:p>
    <w:p>
      <w:pPr>
        <w:pStyle w:val="ListBullet"/>
      </w:pPr>
      <w:r>
        <w:t>Therefore the problem is STATUS / REGISTER CANONICALIZATION, not an architecture contradiction.</w:t>
      </w:r>
    </w:p>
    <w:p>
      <w:pPr>
        <w:pStyle w:val="Heading1"/>
      </w:pPr>
      <w:r>
        <w:t>6. Required Containment for ADR-LE-005</w:t>
      </w:r>
    </w:p>
    <w:p>
      <w:pPr>
        <w:pStyle w:val="ListBullet"/>
      </w:pPr>
      <w:r>
        <w:t>Do NOT retroactively mark ADR-LE-005 as LOCKED without a formal user/governance decision.</w:t>
      </w:r>
    </w:p>
    <w:p>
      <w:pPr>
        <w:pStyle w:val="ListBullet"/>
      </w:pPr>
      <w:r>
        <w:t>Canonical status for the present AEP #2 gate should be: SOURCE-SUPPORTED / GOVERNING VIA MADCR-011, but NOT independently locked as ADR-LE-005.</w:t>
      </w:r>
    </w:p>
    <w:p>
      <w:pPr>
        <w:pStyle w:val="ListBullet"/>
      </w:pPr>
      <w:r>
        <w:t>Downstream artifacts may retain the Payment ownership boundary because MADCR-011 is already governing; they must not imply that ADR-LE-005 itself was user-locked.</w:t>
      </w:r>
    </w:p>
    <w:p>
      <w:pPr>
        <w:pStyle w:val="ListBullet"/>
      </w:pPr>
      <w:r>
        <w:t>If ADR-LE-005 is desired as an independent ADR, it requires its own formal decision/confirmation gate rather than being inferred from Q1–Q6.</w:t>
      </w:r>
    </w:p>
    <w:p>
      <w:pPr>
        <w:pStyle w:val="ListBullet"/>
      </w:pPr>
      <w:r>
        <w:t>The AEP #2 final gate must record this distinction.</w:t>
      </w:r>
    </w:p>
    <w:p>
      <w:pPr>
        <w:pStyle w:val="Heading1"/>
      </w:pPr>
      <w:r>
        <w:t>7. Other Findings</w:t>
      </w:r>
    </w:p>
    <w:p>
      <w:pPr>
        <w:pStyle w:val="ListBullet"/>
      </w:pPr>
      <w:r>
        <w:t>No contradiction found between Internal Learning Economy and Partnership Learning treatment.</w:t>
      </w:r>
    </w:p>
    <w:p>
      <w:pPr>
        <w:pStyle w:val="ListBullet"/>
      </w:pPr>
      <w:r>
        <w:t>No contradiction found between LP ledger and current-balance/projection language.</w:t>
      </w:r>
    </w:p>
    <w:p>
      <w:pPr>
        <w:pStyle w:val="ListBullet"/>
      </w:pPr>
      <w:r>
        <w:t>No contradiction found between Purchased LP idempotency and payment reconciliation.</w:t>
      </w:r>
    </w:p>
    <w:p>
      <w:pPr>
        <w:pStyle w:val="ListBullet"/>
      </w:pPr>
      <w:r>
        <w:t>No contradiction found between Pay-to-Accelerate and assessment/credential boundaries.</w:t>
      </w:r>
    </w:p>
    <w:p>
      <w:pPr>
        <w:pStyle w:val="ListBullet"/>
      </w:pPr>
      <w:r>
        <w:t>No contradiction found with MADCR-036/037/041/046 awarding boundaries.</w:t>
      </w:r>
    </w:p>
    <w:p>
      <w:pPr>
        <w:pStyle w:val="ListBullet"/>
      </w:pPr>
      <w:r>
        <w:t>No contradiction found with MADCR-010 entitlement boundary; Learning Points are not treated as Commercial Entitlement.</w:t>
      </w:r>
    </w:p>
    <w:p>
      <w:pPr>
        <w:pStyle w:val="ListBullet"/>
      </w:pPr>
      <w:r>
        <w:t>No contradiction found with MADCR-011 Payment ownership.</w:t>
      </w:r>
    </w:p>
    <w:p>
      <w:pPr>
        <w:pStyle w:val="ListBullet"/>
      </w:pPr>
      <w:r>
        <w:t>No contradiction found with the AEP execution lock: global technical synchronization remains deferred until AEP #1–#4 are complete. fileciteturn39file15</w:t>
      </w:r>
    </w:p>
    <w:p>
      <w:pPr>
        <w:pStyle w:val="Heading1"/>
      </w:pPr>
      <w:r>
        <w:t>8. Evidence Gaps — Not Contradictions</w:t>
      </w:r>
    </w:p>
    <w:p>
      <w:pPr>
        <w:pStyle w:val="ListBullet"/>
      </w:pPr>
      <w:r>
        <w:t>Exact current ERD/schema content remains insufficiently retrieved for an exact table-by-table delta.</w:t>
      </w:r>
    </w:p>
    <w:p>
      <w:pPr>
        <w:pStyle w:val="ListBullet"/>
      </w:pPr>
      <w:r>
        <w:t>Exact current API endpoint content remains insufficiently retrieved for endpoint-by-endpoint conflict analysis.</w:t>
      </w:r>
    </w:p>
    <w:p>
      <w:pPr>
        <w:pStyle w:val="ListBullet"/>
      </w:pPr>
      <w:r>
        <w:t>Exact current RBAC permission IDs remain insufficiently retrieved for permission-ID reconciliation.</w:t>
      </w:r>
    </w:p>
    <w:p>
      <w:pPr>
        <w:pStyle w:val="ListBullet"/>
      </w:pPr>
      <w:r>
        <w:t>Exact current User Flow screen content remains insufficiently retrieved for screen-level conflict analysis.</w:t>
      </w:r>
    </w:p>
    <w:p>
      <w:pPr>
        <w:pStyle w:val="ListBullet"/>
      </w:pPr>
      <w:r>
        <w:t>Current automated test implementation/pass evidence remains unverified.</w:t>
      </w:r>
    </w:p>
    <w:p>
      <w:pPr>
        <w:pStyle w:val="ListBullet"/>
      </w:pPr>
      <w:r>
        <w:t>These are evidence gaps and must not be represented as proof of alignment or misalignment.</w:t>
      </w:r>
    </w:p>
    <w:p>
      <w:pPr>
        <w:pStyle w:val="Heading1"/>
      </w:pPr>
      <w:r>
        <w:t>9. MADCR-049 Reconciliation</w:t>
      </w:r>
    </w:p>
    <w:p>
      <w:pPr>
        <w:pStyle w:val="ListBullet"/>
      </w:pPr>
      <w:r>
        <w:t>MADCR-049 remains OPEN / RE-EVALUATION.</w:t>
      </w:r>
    </w:p>
    <w:p>
      <w:pPr>
        <w:pStyle w:val="ListBullet"/>
      </w:pPr>
      <w:r>
        <w:t>The Learning Economy artifacts correctly use Learning Activity as a semantic/business-rule concept while keeping its final governance/evidence model conditional.</w:t>
      </w:r>
    </w:p>
    <w:p>
      <w:pPr>
        <w:pStyle w:val="ListBullet"/>
      </w:pPr>
      <w:r>
        <w:t>No AEP #2 artifact is permitted to use the downstream design work as evidence that MADCR-049 is closed.</w:t>
      </w:r>
    </w:p>
    <w:p>
      <w:pPr>
        <w:pStyle w:val="ListBullet"/>
      </w:pPr>
      <w:r>
        <w:t>This treatment is consistent with the Batch-1 reconciliation, which explicitly says MADCR-049 remains independent and requires evidence recovery/review. fileciteturn39file3turn39file6</w:t>
      </w:r>
    </w:p>
    <w:p>
      <w:pPr>
        <w:pStyle w:val="Heading1"/>
      </w:pPr>
      <w:r>
        <w:t>10. Traceability Chain Audit</w:t>
      </w:r>
    </w:p>
    <w:p>
      <w:r>
        <w:t>Business Rule → AEP Decision → ADR/Governance → Domain → ERD → Schema → Integration Contract → API → RBAC → User Flow → PRD → Engineering → Test</w:t>
        <w:br/>
        <w:br/>
        <w:t>Result: SEMANTIC CHAIN PASS, with one governance-status canonicalization issue for ADR-LE-005 and the previously declared current-baseline evidence gaps.</w:t>
      </w:r>
    </w:p>
    <w:p>
      <w:pPr>
        <w:pStyle w:val="Heading1"/>
      </w:pPr>
      <w:r>
        <w:t>11. Gate Decision</w:t>
      </w:r>
    </w:p>
    <w:p>
      <w:r>
        <w:t>AEP #2 CROSS-DOCUMENT RECONCILIATION = CONDITIONAL PASS / HOLD FOR CANONICALIZATION.</w:t>
        <w:br/>
        <w:br/>
        <w:t>The architecture and downstream impacts are mutually consistent. One material documentation/governance-status drift exists: ADR-LE-005 is treated as locked in some downstream language although the formal decision register did not lock it. This must be corrected before declaring AEP #2 fully synchronized. No architecture redesign is required by this finding.</w:t>
      </w:r>
    </w:p>
    <w:p>
      <w:pPr>
        <w:pStyle w:val="Heading1"/>
      </w:pPr>
      <w:r>
        <w:t>12. Required Next Action</w:t>
      </w:r>
    </w:p>
    <w:p>
      <w:pPr>
        <w:pStyle w:val="ListBullet"/>
      </w:pPr>
      <w:r>
        <w:t>Canonicalize ADR-LE-005 status across the AEP #2 artifacts.</w:t>
      </w:r>
    </w:p>
    <w:p>
      <w:pPr>
        <w:pStyle w:val="ListBullet"/>
      </w:pPr>
      <w:r>
        <w:t>Do not create a new architecture decision by inference.</w:t>
      </w:r>
    </w:p>
    <w:p>
      <w:pPr>
        <w:pStyle w:val="ListBullet"/>
      </w:pPr>
      <w:r>
        <w:t>After canonicalization, rerun the AEP #2 final synchronization gate.</w:t>
      </w:r>
    </w:p>
    <w:p>
      <w:pPr>
        <w:pStyle w:val="ListBullet"/>
      </w:pPr>
      <w:r>
        <w:t>If the user wants ADR-LE-005 to be independently locked, obtain a formal decision before changing its status.</w:t>
      </w:r>
    </w:p>
    <w:p>
      <w:pPr>
        <w:pStyle w:val="ListBullet"/>
      </w:pPr>
      <w:r>
        <w:t>Do not perform global project-wide technical synchronization yet; that remains after AEP #1–#4.</w:t>
      </w:r>
    </w:p>
    <w:p>
      <w:pPr>
        <w:pStyle w:val="Heading1"/>
      </w:pPr>
      <w:r>
        <w:t>13. Final Status</w:t>
      </w:r>
    </w:p>
    <w:p>
      <w:r>
        <w:t>AEP #2 is NOT YET FINAL-SYNCHRONIZED. Domain architecture and downstream impact work are complete, but the final gate is held only for ADR-LE-005 status canonicalization. All other audited boundaries are consistent based on the retrieved evidence.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