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ADR-LE-005 Canonicalization &amp; Governance Disposition</w:t>
      </w:r>
    </w:p>
    <w:p>
      <w:r>
        <w:t>RumahAgen | Learning Economy | Governance Canonicalization Artifact</w:t>
      </w:r>
    </w:p>
    <w:p>
      <w:pPr>
        <w:pStyle w:val="Heading1"/>
      </w:pPr>
      <w:r>
        <w:t>1. Purpose</w:t>
      </w:r>
    </w:p>
    <w:p>
      <w:r>
        <w:t>Resolve the cross-document status drift identified during AEP #2 reconciliation for ADR-LE-005 without opening a new business decision and without reopening an approved MADCR. This artifact establishes the canonical governance disposition and the downstream traceability treatment.</w:t>
      </w:r>
    </w:p>
    <w:p>
      <w:pPr>
        <w:pStyle w:val="Heading1"/>
      </w:pPr>
      <w:r>
        <w:t>2. Finding Being Resolved</w:t>
      </w:r>
    </w:p>
    <w:p>
      <w:pPr>
        <w:pStyle w:val="ListBullet"/>
      </w:pPr>
      <w:r>
        <w:t>The formal AEP #2 Decision Formalization artifact locked ADR-LE-001, 002, 003, 004, 006, 007 and 008; ADR-LE-005 was not included in the user-locked decision set.</w:t>
      </w:r>
    </w:p>
    <w:p>
      <w:pPr>
        <w:pStyle w:val="ListBullet"/>
      </w:pPr>
      <w:r>
        <w:t>The earlier Governance/ADR Reconciliation described ADR-LE-005 as a candidate concerning Learning not directly owning Payment Gateway logic.</w:t>
      </w:r>
    </w:p>
    <w:p>
      <w:pPr>
        <w:pStyle w:val="ListBullet"/>
      </w:pPr>
      <w:r>
        <w:t>Some downstream AEP #2 artifacts subsequently used language implying ADR-LE-001–008 were all locked.</w:t>
      </w:r>
    </w:p>
    <w:p>
      <w:pPr>
        <w:pStyle w:val="ListBullet"/>
      </w:pPr>
      <w:r>
        <w:t>This is a governance-status/documentation drift, not an architecture contradiction.</w:t>
      </w:r>
    </w:p>
    <w:p>
      <w:pPr>
        <w:pStyle w:val="Heading1"/>
      </w:pPr>
      <w:r>
        <w:t>3. Governing Source</w:t>
      </w:r>
    </w:p>
    <w:p>
      <w:pPr>
        <w:pStyle w:val="ListBullet"/>
      </w:pPr>
      <w:r>
        <w:t>MADCR-011 is the governing authority for Payment ownership and places Payment in the M14 Commercial Subdomain.</w:t>
      </w:r>
    </w:p>
    <w:p>
      <w:pPr>
        <w:pStyle w:val="ListBullet"/>
      </w:pPr>
      <w:r>
        <w:t>MADCR-002 establishes the provider-independent Payment Core and Provider Adapter boundary.</w:t>
      </w:r>
    </w:p>
    <w:p>
      <w:pPr>
        <w:pStyle w:val="ListBullet"/>
      </w:pPr>
      <w:r>
        <w:t>MADCR-003 establishes verified payment confirmation and idempotent fulfillment.</w:t>
      </w:r>
    </w:p>
    <w:p>
      <w:pPr>
        <w:pStyle w:val="ListBullet"/>
      </w:pPr>
      <w:r>
        <w:t>Therefore the substantive boundary expressed by ADR-LE-005 is already governed by approved higher-level decisions.</w:t>
      </w:r>
    </w:p>
    <w:p>
      <w:pPr>
        <w:pStyle w:val="Heading1"/>
      </w:pPr>
      <w:r>
        <w:t>4. Canonical Disposition</w:t>
      </w:r>
    </w:p>
    <w:p>
      <w:r>
        <w:t>ADR-LE-005 SHALL NOT be treated as an independently LOCKED ADR.</w:t>
        <w:br/>
        <w:br/>
        <w:t>Canonical status:</w:t>
        <w:br/>
        <w:t>**DERIVED / GOVERNED BY MADCR-011**</w:t>
        <w:br/>
        <w:br/>
        <w:t>Interpretation:</w:t>
        <w:br/>
        <w:t>The Payment ownership boundary used by AEP #2 is valid and may be used downstream, but its authority comes from MADCR-011 (supported by MADCR-002/003), not from an independently user-locked ADR-LE-005.</w:t>
      </w:r>
    </w:p>
    <w:p>
      <w:pPr>
        <w:pStyle w:val="Heading1"/>
      </w:pPr>
      <w:r>
        <w:t>5. What This Disposition Does NOT Do</w:t>
      </w:r>
    </w:p>
    <w:p>
      <w:pPr>
        <w:pStyle w:val="ListBullet"/>
      </w:pPr>
      <w:r>
        <w:t>It does not reopen MADCR-011.</w:t>
      </w:r>
    </w:p>
    <w:p>
      <w:pPr>
        <w:pStyle w:val="ListBullet"/>
      </w:pPr>
      <w:r>
        <w:t>It does not create a new business decision.</w:t>
      </w:r>
    </w:p>
    <w:p>
      <w:pPr>
        <w:pStyle w:val="ListBullet"/>
      </w:pPr>
      <w:r>
        <w:t>It does not ask the user to re-decide an already governed Payment boundary.</w:t>
      </w:r>
    </w:p>
    <w:p>
      <w:pPr>
        <w:pStyle w:val="ListBullet"/>
      </w:pPr>
      <w:r>
        <w:t>It does not invalidate the Payment ↔ Learning Integration Contract.</w:t>
      </w:r>
    </w:p>
    <w:p>
      <w:pPr>
        <w:pStyle w:val="ListBullet"/>
      </w:pPr>
      <w:r>
        <w:t>It does not change Learning Economy Business Rules.</w:t>
      </w:r>
    </w:p>
    <w:p>
      <w:pPr>
        <w:pStyle w:val="ListBullet"/>
      </w:pPr>
      <w:r>
        <w:t>It does not change the approved Payment architecture.</w:t>
      </w:r>
    </w:p>
    <w:p>
      <w:pPr>
        <w:pStyle w:val="ListBullet"/>
      </w:pPr>
      <w:r>
        <w:t>It does not authorize implementation beyond the existing AEP synchronization gate.</w:t>
      </w:r>
    </w:p>
    <w:p>
      <w:pPr>
        <w:pStyle w:val="Heading1"/>
      </w:pPr>
      <w:r>
        <w:t>6. Downstream Canonical Treatment</w:t>
      </w:r>
    </w:p>
    <w:p>
      <w:pPr>
        <w:pStyle w:val="ListBullet"/>
      </w:pPr>
      <w:r>
        <w:t>AEP #2 Decision Register: exclude ADR-LE-005 from the LOCKED-BY-USER list.</w:t>
      </w:r>
    </w:p>
    <w:p>
      <w:pPr>
        <w:pStyle w:val="ListBullet"/>
      </w:pPr>
      <w:r>
        <w:t>AEP #2 Payment Integration Contract: retain the Payment ownership boundary, citing MADCR-011 as authority.</w:t>
      </w:r>
    </w:p>
    <w:p>
      <w:pPr>
        <w:pStyle w:val="ListBullet"/>
      </w:pPr>
      <w:r>
        <w:t>AEP #2 API/RBAC/Engineering/Test traceability: retain the boundary but do not label ADR-LE-005 as locked.</w:t>
      </w:r>
    </w:p>
    <w:p>
      <w:pPr>
        <w:pStyle w:val="ListBullet"/>
      </w:pPr>
      <w:r>
        <w:t>Any phrase 'ADR-LE-001–008 locked' in AEP #2 downstream artifacts must be interpreted/corrected as 'ADR-LE-001–004, 006–008 locked; Payment boundary governed by MADCR-011'.</w:t>
      </w:r>
    </w:p>
    <w:p>
      <w:pPr>
        <w:pStyle w:val="ListBullet"/>
      </w:pPr>
      <w:r>
        <w:t>ADR-LE-005 should not be counted as an unresolved Open Decision.</w:t>
      </w:r>
    </w:p>
    <w:p>
      <w:pPr>
        <w:pStyle w:val="Heading1"/>
      </w:pPr>
      <w:r>
        <w:t>7. Traceability Correction</w:t>
      </w:r>
    </w:p>
    <w:p>
      <w:pPr>
        <w:pStyle w:val="ListBullet"/>
      </w:pPr>
      <w:r>
        <w:t>Payment Ownership → MADCR-011.</w:t>
      </w:r>
    </w:p>
    <w:p>
      <w:pPr>
        <w:pStyle w:val="ListBullet"/>
      </w:pPr>
      <w:r>
        <w:t>Provider Adapter / Payment Core → MADCR-002.</w:t>
      </w:r>
    </w:p>
    <w:p>
      <w:pPr>
        <w:pStyle w:val="ListBullet"/>
      </w:pPr>
      <w:r>
        <w:t>Verified Payment / Idempotent Fulfillment → MADCR-003.</w:t>
      </w:r>
    </w:p>
    <w:p>
      <w:pPr>
        <w:pStyle w:val="ListBullet"/>
      </w:pPr>
      <w:r>
        <w:t>Learning Purchased LP Grant → AEP #2 Payment ↔ Learning Integration Contract + Learning Economy rules.</w:t>
      </w:r>
    </w:p>
    <w:p>
      <w:pPr>
        <w:pStyle w:val="ListBullet"/>
      </w:pPr>
      <w:r>
        <w:t>ADR-LE-005 concept → derived architectural expression of the already approved Payment boundary; not an independent decision authority.</w:t>
      </w:r>
    </w:p>
    <w:p>
      <w:pPr>
        <w:pStyle w:val="Heading1"/>
      </w:pPr>
      <w:r>
        <w:t>8. Effect on AEP #2 Audit Finding</w:t>
      </w:r>
    </w:p>
    <w:p>
      <w:r>
        <w:t>The prior Cross-Document Reconciliation finding 'ADR-LE-005 status drift' is RESOLVED at the governance/canonicalization level.</w:t>
        <w:br/>
        <w:br/>
        <w:t>No architecture redesign is required.</w:t>
        <w:br/>
        <w:br/>
        <w:t>No new Open Decision is required.</w:t>
        <w:br/>
        <w:br/>
        <w:t>The final AEP #2 gate may proceed, subject to the remaining declared evidence gaps and MADCR-049 residual.</w:t>
      </w:r>
    </w:p>
    <w:p>
      <w:pPr>
        <w:pStyle w:val="Heading1"/>
      </w:pPr>
      <w:r>
        <w:t>9. MADCR-049 Independence</w:t>
      </w:r>
    </w:p>
    <w:p>
      <w:pPr>
        <w:pStyle w:val="ListBullet"/>
      </w:pPr>
      <w:r>
        <w:t>This disposition has no effect on MADCR-049.</w:t>
      </w:r>
    </w:p>
    <w:p>
      <w:pPr>
        <w:pStyle w:val="ListBullet"/>
      </w:pPr>
      <w:r>
        <w:t>MADCR-049 remains OPEN / RE-EVALUATION.</w:t>
      </w:r>
    </w:p>
    <w:p>
      <w:pPr>
        <w:pStyle w:val="ListBullet"/>
      </w:pPr>
      <w:r>
        <w:t>The Learning Activity semantic model may continue to be used for AEP #2 impact analysis, but its final governance/evidence model remains conditional.</w:t>
      </w:r>
    </w:p>
    <w:p>
      <w:pPr>
        <w:pStyle w:val="Heading1"/>
      </w:pPr>
      <w:r>
        <w:t>10. Final Canonical Status Table</w:t>
      </w:r>
    </w:p>
    <w:p>
      <w:pPr>
        <w:pStyle w:val="ListBullet"/>
      </w:pPr>
      <w:r>
        <w:t>ADR-LE-001 — LOCKED BY USER DECISION.</w:t>
      </w:r>
    </w:p>
    <w:p>
      <w:pPr>
        <w:pStyle w:val="ListBullet"/>
      </w:pPr>
      <w:r>
        <w:t>ADR-LE-002 — LOCKED BY USER DECISION.</w:t>
      </w:r>
    </w:p>
    <w:p>
      <w:pPr>
        <w:pStyle w:val="ListBullet"/>
      </w:pPr>
      <w:r>
        <w:t>ADR-LE-003 — LOCKED BY USER DECISION.</w:t>
      </w:r>
    </w:p>
    <w:p>
      <w:pPr>
        <w:pStyle w:val="ListBullet"/>
      </w:pPr>
      <w:r>
        <w:t>ADR-LE-004 — LOCKED BY USER DECISION.</w:t>
      </w:r>
    </w:p>
    <w:p>
      <w:pPr>
        <w:pStyle w:val="ListBullet"/>
      </w:pPr>
      <w:r>
        <w:t>ADR-LE-005 — DERIVED / GOVERNED BY MADCR-011; NOT INDEPENDENTLY LOCKED.</w:t>
      </w:r>
    </w:p>
    <w:p>
      <w:pPr>
        <w:pStyle w:val="ListBullet"/>
      </w:pPr>
      <w:r>
        <w:t>ADR-LE-006 — LOCKED BY USER DECISION.</w:t>
      </w:r>
    </w:p>
    <w:p>
      <w:pPr>
        <w:pStyle w:val="ListBullet"/>
      </w:pPr>
      <w:r>
        <w:t>ADR-LE-007 — LOCKED BY USER DECISION.</w:t>
      </w:r>
    </w:p>
    <w:p>
      <w:pPr>
        <w:pStyle w:val="ListBullet"/>
      </w:pPr>
      <w:r>
        <w:t>ADR-LE-008 — LOCKED BY USER DECISION.</w:t>
      </w:r>
    </w:p>
    <w:p>
      <w:pPr>
        <w:pStyle w:val="Heading1"/>
      </w:pPr>
      <w:r>
        <w:t>11. Gate</w:t>
      </w:r>
    </w:p>
    <w:p>
      <w:r>
        <w:t>CANONICALIZATION = PASS.</w:t>
        <w:br/>
        <w:br/>
        <w:t>ADR-LE-005 status drift is resolved without opening a new decision. The AEP #2 final synchronization gate may now be executed.</w:t>
      </w:r>
    </w:p>
    <w:p>
      <w:pPr>
        <w:pStyle w:val="Heading1"/>
      </w:pPr>
      <w:r>
        <w:t>12. Next Step</w:t>
      </w:r>
    </w:p>
    <w:p>
      <w:r>
        <w:t>Execute the AEP #2 Final Synchronization / Reconciliation Gate and produce the formal AEP #2 Final Synchronization Record. The final record must include the canonical ADR status above, all completed downstream impacts, remaining evidence gaps, MADCR-049 residual, and the explicit boundary that global project-wide technical synchronization remains deferred until AEP #1–#4 are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