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RUMAHAGEN — AEP #3</w:t>
      </w:r>
    </w:p>
    <w:p>
      <w:pPr>
        <w:jc w:val="center"/>
      </w:pPr>
      <w:r>
        <w:rPr>
          <w:b/>
          <w:sz w:val="36"/>
        </w:rPr>
        <w:t>Consolidation &amp; Architecture Review</w:t>
      </w:r>
    </w:p>
    <w:p>
      <w:pPr>
        <w:jc w:val="center"/>
      </w:pPr>
      <w:r>
        <w:rPr>
          <w:i/>
        </w:rPr>
        <w:t>Version 1.0 | Status: PASS — SEMANTIC ARCHITECTURE COMPLETE, SYNCHRONIZATION GATE PENDING</w:t>
      </w:r>
    </w:p>
    <w:p>
      <w:pPr>
        <w:pStyle w:val="Heading1"/>
      </w:pPr>
      <w:r>
        <w:t>1. Review Objective</w:t>
      </w:r>
    </w:p>
    <w:p>
      <w:r>
        <w:t>Mengonsolidasikan Impact 01–10 dan AEP3-OD-01/OD-06, melakukan contradiction/open-item scan, menetapkan keputusan yang berlaku setelah downstream decisions, dan menentukan apakah AEP #3 siap masuk ke controlled synchronization terhadap baseline project.</w:t>
      </w:r>
    </w:p>
    <w:p>
      <w:pPr>
        <w:pStyle w:val="Heading1"/>
      </w:pPr>
      <w:r>
        <w:t>2. Review Evidence Set</w:t>
      </w:r>
    </w:p>
    <w:p>
      <w:pPr>
        <w:pStyle w:val="ListBullet"/>
      </w:pPr>
      <w:r>
        <w:t>AEP3 Impact 01 — Governance &amp; Current Architecture Impact</w:t>
      </w:r>
    </w:p>
    <w:p>
      <w:pPr>
        <w:pStyle w:val="ListBullet"/>
      </w:pPr>
      <w:r>
        <w:t>AEP3 Impact 02 — Target Title/Awarding Domain Architecture</w:t>
      </w:r>
    </w:p>
    <w:p>
      <w:pPr>
        <w:pStyle w:val="ListBullet"/>
      </w:pPr>
      <w:r>
        <w:t>AEP3 Impact 03 — ERD Entity/Relationship Impact</w:t>
      </w:r>
    </w:p>
    <w:p>
      <w:pPr>
        <w:pStyle w:val="ListBullet"/>
      </w:pPr>
      <w:r>
        <w:t>AEP3 OD-01 — Title Identity Version Decision (B)</w:t>
      </w:r>
    </w:p>
    <w:p>
      <w:pPr>
        <w:pStyle w:val="ListBullet"/>
      </w:pPr>
      <w:r>
        <w:t>AEP3 Impact 04 — Schema/Database Impact</w:t>
      </w:r>
    </w:p>
    <w:p>
      <w:pPr>
        <w:pStyle w:val="ListBullet"/>
      </w:pPr>
      <w:r>
        <w:t>AEP3 Impact 05 — API Synchronization/Contract Impact</w:t>
      </w:r>
    </w:p>
    <w:p>
      <w:pPr>
        <w:pStyle w:val="ListBullet"/>
      </w:pPr>
      <w:r>
        <w:t>AEP3 Impact 06 — RBAC/Permission Impact</w:t>
      </w:r>
    </w:p>
    <w:p>
      <w:pPr>
        <w:pStyle w:val="ListBullet"/>
      </w:pPr>
      <w:r>
        <w:t>AEP3 Impact 07 — User Flow Impact</w:t>
      </w:r>
    </w:p>
    <w:p>
      <w:pPr>
        <w:pStyle w:val="ListBullet"/>
      </w:pPr>
      <w:r>
        <w:t>AEP3 Impact 08 — PRD/Product Requirement Impact</w:t>
      </w:r>
    </w:p>
    <w:p>
      <w:pPr>
        <w:pStyle w:val="ListBullet"/>
      </w:pPr>
      <w:r>
        <w:t>AEP3 Impact 09 — Engineering/Service Boundary Impact</w:t>
      </w:r>
    </w:p>
    <w:p>
      <w:pPr>
        <w:pStyle w:val="ListBullet"/>
      </w:pPr>
      <w:r>
        <w:t>AEP3 Impact 10 — Traceability &amp; Acceptance/Test Impact</w:t>
      </w:r>
    </w:p>
    <w:p>
      <w:pPr>
        <w:pStyle w:val="ListBullet"/>
      </w:pPr>
      <w:r>
        <w:t>AEP3 OD-06 — Awarding Authority Model Decision (B)</w:t>
      </w:r>
    </w:p>
    <w:p>
      <w:pPr>
        <w:pStyle w:val="ListBullet"/>
      </w:pPr>
      <w:r>
        <w:t>Title Business Rules Baseline 001–100 and governing MADCR boundaries referenced by the AEP3 artifacts.</w:t>
      </w:r>
    </w:p>
    <w:p>
      <w:pPr>
        <w:pStyle w:val="Heading1"/>
      </w:pPr>
      <w:r>
        <w:t>3. Consolidated Governing Decisions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Decision</w:t>
            </w:r>
          </w:p>
        </w:tc>
        <w:tc>
          <w:tcPr>
            <w:tcW w:type="dxa" w:w="2160"/>
          </w:tcPr>
          <w:p>
            <w:r>
              <w:t>Resolved Position</w:t>
            </w:r>
          </w:p>
        </w:tc>
        <w:tc>
          <w:tcPr>
            <w:tcW w:type="dxa" w:w="2160"/>
          </w:tcPr>
          <w:p>
            <w:r>
              <w:t>Downstream Effect</w:t>
            </w:r>
          </w:p>
        </w:tc>
        <w:tc>
          <w:tcPr>
            <w:tcW w:type="dxa" w:w="2160"/>
          </w:tcPr>
          <w:p>
            <w:r>
              <w:t>Status</w:t>
            </w:r>
          </w:p>
        </w:tc>
      </w:tr>
      <w:tr>
        <w:tc>
          <w:tcPr>
            <w:tcW w:type="dxa" w:w="2160"/>
          </w:tcPr>
          <w:p>
            <w:r>
              <w:t>MADCR-036</w:t>
            </w:r>
          </w:p>
        </w:tc>
        <w:tc>
          <w:tcPr>
            <w:tcW w:type="dxa" w:w="2160"/>
          </w:tcPr>
          <w:p>
            <w:r>
              <w:t>Title Definition ≠ Award Instance</w:t>
            </w:r>
          </w:p>
        </w:tc>
        <w:tc>
          <w:tcPr>
            <w:tcW w:type="dxa" w:w="2160"/>
          </w:tcPr>
          <w:p>
            <w:r>
              <w:t>Separate Title and Award domain concepts.</w:t>
            </w:r>
          </w:p>
        </w:tc>
        <w:tc>
          <w:tcPr>
            <w:tcW w:type="dxa" w:w="2160"/>
          </w:tcPr>
          <w:p>
            <w:r>
              <w:t>GOVERNING</w:t>
            </w:r>
          </w:p>
        </w:tc>
      </w:tr>
      <w:tr>
        <w:tc>
          <w:tcPr>
            <w:tcW w:type="dxa" w:w="2160"/>
          </w:tcPr>
          <w:p>
            <w:r>
              <w:t>MADCR-037</w:t>
            </w:r>
          </w:p>
        </w:tc>
        <w:tc>
          <w:tcPr>
            <w:tcW w:type="dxa" w:w="2160"/>
          </w:tcPr>
          <w:p>
            <w:r>
              <w:t>Title Identity → Path Version → Rule Version → Award provenance</w:t>
            </w:r>
          </w:p>
        </w:tc>
        <w:tc>
          <w:tcPr>
            <w:tcW w:type="dxa" w:w="2160"/>
          </w:tcPr>
          <w:p>
            <w:r>
              <w:t>Historical provenance chain retained.</w:t>
            </w:r>
          </w:p>
        </w:tc>
        <w:tc>
          <w:tcPr>
            <w:tcW w:type="dxa" w:w="2160"/>
          </w:tcPr>
          <w:p>
            <w:r>
              <w:t>GOVERNING</w:t>
            </w:r>
          </w:p>
        </w:tc>
      </w:tr>
      <w:tr>
        <w:tc>
          <w:tcPr>
            <w:tcW w:type="dxa" w:w="2160"/>
          </w:tcPr>
          <w:p>
            <w:r>
              <w:t>MADCR-041</w:t>
            </w:r>
          </w:p>
        </w:tc>
        <w:tc>
          <w:tcPr>
            <w:tcW w:type="dxa" w:w="2160"/>
          </w:tcPr>
          <w:p>
            <w:r>
              <w:t>Rule Version is independent version boundary</w:t>
            </w:r>
          </w:p>
        </w:tc>
        <w:tc>
          <w:tcPr>
            <w:tcW w:type="dxa" w:w="2160"/>
          </w:tcPr>
          <w:p>
            <w:r>
              <w:t>Rule lifecycle/versioning remains separate.</w:t>
            </w:r>
          </w:p>
        </w:tc>
        <w:tc>
          <w:tcPr>
            <w:tcW w:type="dxa" w:w="2160"/>
          </w:tcPr>
          <w:p>
            <w:r>
              <w:t>GOVERNING</w:t>
            </w:r>
          </w:p>
        </w:tc>
      </w:tr>
      <w:tr>
        <w:tc>
          <w:tcPr>
            <w:tcW w:type="dxa" w:w="2160"/>
          </w:tcPr>
          <w:p>
            <w:r>
              <w:t>MADCR-046</w:t>
            </w:r>
          </w:p>
        </w:tc>
        <w:tc>
          <w:tcPr>
            <w:tcW w:type="dxa" w:w="2160"/>
          </w:tcPr>
          <w:p>
            <w:r>
              <w:t>M04 Certificate/Credential ≠ M15 Title/Award Instance</w:t>
            </w:r>
          </w:p>
        </w:tc>
        <w:tc>
          <w:tcPr>
            <w:tcW w:type="dxa" w:w="2160"/>
          </w:tcPr>
          <w:p>
            <w:r>
              <w:t>Certificate remains isolated; may contribute evidence.</w:t>
            </w:r>
          </w:p>
        </w:tc>
        <w:tc>
          <w:tcPr>
            <w:tcW w:type="dxa" w:w="2160"/>
          </w:tcPr>
          <w:p>
            <w:r>
              <w:t>GOVERNING</w:t>
            </w:r>
          </w:p>
        </w:tc>
      </w:tr>
      <w:tr>
        <w:tc>
          <w:tcPr>
            <w:tcW w:type="dxa" w:w="2160"/>
          </w:tcPr>
          <w:p>
            <w:r>
              <w:t>AEP3-OD-01</w:t>
            </w:r>
          </w:p>
        </w:tc>
        <w:tc>
          <w:tcPr>
            <w:tcW w:type="dxa" w:w="2160"/>
          </w:tcPr>
          <w:p>
            <w:r>
              <w:t>Option B — stable Title Identity; no dedicated Title Identity Version</w:t>
            </w:r>
          </w:p>
        </w:tc>
        <w:tc>
          <w:tcPr>
            <w:tcW w:type="dxa" w:w="2160"/>
          </w:tcPr>
          <w:p>
            <w:r>
              <w:t>Material qualification changes use Path/Rule version boundaries.</w:t>
            </w:r>
          </w:p>
        </w:tc>
        <w:tc>
          <w:tcPr>
            <w:tcW w:type="dxa" w:w="2160"/>
          </w:tcPr>
          <w:p>
            <w:r>
              <w:t>CLOSED</w:t>
            </w:r>
          </w:p>
        </w:tc>
      </w:tr>
      <w:tr>
        <w:tc>
          <w:tcPr>
            <w:tcW w:type="dxa" w:w="2160"/>
          </w:tcPr>
          <w:p>
            <w:r>
              <w:t>AEP3-OD-06</w:t>
            </w:r>
          </w:p>
        </w:tc>
        <w:tc>
          <w:tcPr>
            <w:tcW w:type="dxa" w:w="2160"/>
          </w:tcPr>
          <w:p>
            <w:r>
              <w:t>Option B — existing roles + capability permissions + Authority/Scope Binding</w:t>
            </w:r>
          </w:p>
        </w:tc>
        <w:tc>
          <w:tcPr>
            <w:tcW w:type="dxa" w:w="2160"/>
          </w:tcPr>
          <w:p>
            <w:r>
              <w:t>No dedicated Issuer role; authorization becomes role + permission + authority scope.</w:t>
            </w:r>
          </w:p>
        </w:tc>
        <w:tc>
          <w:tcPr>
            <w:tcW w:type="dxa" w:w="2160"/>
          </w:tcPr>
          <w:p>
            <w:r>
              <w:t>CLOSED</w:t>
            </w:r>
          </w:p>
        </w:tc>
      </w:tr>
    </w:tbl>
    <w:p>
      <w:pPr>
        <w:pStyle w:val="Heading1"/>
      </w:pPr>
      <w:r>
        <w:t>4. Consolidated Target Architecture</w:t>
      </w:r>
    </w:p>
    <w:p>
      <w:pPr>
        <w:jc w:val="center"/>
      </w:pPr>
      <w:r>
        <w:t>TITLE IDENTITY / DEFINITION</w:t>
      </w:r>
    </w:p>
    <w:p>
      <w:pPr>
        <w:jc w:val="center"/>
      </w:pPr>
      <w:r>
        <w:t xml:space="preserve">        │</w:t>
      </w:r>
    </w:p>
    <w:p>
      <w:pPr>
        <w:jc w:val="center"/>
      </w:pPr>
      <w:r>
        <w:t xml:space="preserve">        ├── AUTHORITY / SCOPE</w:t>
      </w:r>
    </w:p>
    <w:p>
      <w:pPr>
        <w:jc w:val="center"/>
      </w:pPr>
      <w:r>
        <w:t xml:space="preserve">        ├── POLICY / CONFIGURATION</w:t>
      </w:r>
    </w:p>
    <w:p>
      <w:pPr>
        <w:jc w:val="center"/>
      </w:pPr>
      <w:r>
        <w:t xml:space="preserve">        │</w:t>
      </w:r>
    </w:p>
    <w:p>
      <w:pPr>
        <w:jc w:val="center"/>
      </w:pPr>
      <w:r>
        <w:t xml:space="preserve">        └── AWARDING PATH</w:t>
      </w:r>
    </w:p>
    <w:p>
      <w:pPr>
        <w:jc w:val="center"/>
      </w:pPr>
      <w:r>
        <w:t xml:space="preserve">                ↓</w:t>
      </w:r>
    </w:p>
    <w:p>
      <w:pPr>
        <w:jc w:val="center"/>
      </w:pPr>
      <w:r>
        <w:t xml:space="preserve">          PATH VERSION</w:t>
      </w:r>
    </w:p>
    <w:p>
      <w:pPr>
        <w:jc w:val="center"/>
      </w:pPr>
      <w:r>
        <w:t xml:space="preserve">                ↓</w:t>
      </w:r>
    </w:p>
    <w:p>
      <w:pPr>
        <w:jc w:val="center"/>
      </w:pPr>
      <w:r>
        <w:t xml:space="preserve">          RULE VERSION</w:t>
      </w:r>
    </w:p>
    <w:p>
      <w:pPr>
        <w:jc w:val="center"/>
      </w:pPr>
      <w:r>
        <w:t xml:space="preserve">                ↓</w:t>
      </w:r>
    </w:p>
    <w:p>
      <w:pPr>
        <w:jc w:val="center"/>
      </w:pPr>
      <w:r>
        <w:t xml:space="preserve">       QUALIFICATION / EVALUATION</w:t>
      </w:r>
    </w:p>
    <w:p>
      <w:pPr>
        <w:jc w:val="center"/>
      </w:pPr>
      <w:r>
        <w:t xml:space="preserve">          ┌─────┴─────┐</w:t>
      </w:r>
    </w:p>
    <w:p>
      <w:pPr>
        <w:jc w:val="center"/>
      </w:pPr>
      <w:r>
        <w:t xml:space="preserve">       EVIDENCE    ASSESSMENT</w:t>
      </w:r>
    </w:p>
    <w:p>
      <w:pPr>
        <w:jc w:val="center"/>
      </w:pPr>
      <w:r>
        <w:t xml:space="preserve">          └─────┬─────┘</w:t>
      </w:r>
    </w:p>
    <w:p>
      <w:pPr>
        <w:jc w:val="center"/>
      </w:pPr>
      <w:r>
        <w:t xml:space="preserve">                ↓</w:t>
      </w:r>
    </w:p>
    <w:p>
      <w:pPr>
        <w:jc w:val="center"/>
      </w:pPr>
      <w:r>
        <w:t xml:space="preserve">          AWARD INSTANCE</w:t>
      </w:r>
    </w:p>
    <w:p>
      <w:pPr>
        <w:jc w:val="center"/>
      </w:pPr>
      <w:r>
        <w:t xml:space="preserve">          ├── PROVENANCE</w:t>
      </w:r>
    </w:p>
    <w:p>
      <w:pPr>
        <w:jc w:val="center"/>
      </w:pPr>
      <w:r>
        <w:t xml:space="preserve">          ├── LIFECYCLE</w:t>
      </w:r>
    </w:p>
    <w:p>
      <w:pPr>
        <w:jc w:val="center"/>
      </w:pPr>
      <w:r>
        <w:t xml:space="preserve">          ├── APPEAL</w:t>
      </w:r>
    </w:p>
    <w:p>
      <w:pPr>
        <w:jc w:val="center"/>
      </w:pPr>
      <w:r>
        <w:t xml:space="preserve">          └── PRESENTATION</w:t>
      </w:r>
    </w:p>
    <w:p>
      <w:pPr>
        <w:pStyle w:val="Heading1"/>
      </w:pPr>
      <w:r>
        <w:t>5. Cross-Domain Boundary — Final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Owns</w:t>
            </w:r>
          </w:p>
        </w:tc>
        <w:tc>
          <w:tcPr>
            <w:tcW w:type="dxa" w:w="2160"/>
          </w:tcPr>
          <w:p>
            <w:r>
              <w:t>May Provide</w:t>
            </w:r>
          </w:p>
        </w:tc>
        <w:tc>
          <w:tcPr>
            <w:tcW w:type="dxa" w:w="2160"/>
          </w:tcPr>
          <w:p>
            <w:r>
              <w:t>Does Not Own</w:t>
            </w:r>
          </w:p>
        </w:tc>
      </w:tr>
      <w:tr>
        <w:tc>
          <w:tcPr>
            <w:tcW w:type="dxa" w:w="2160"/>
          </w:tcPr>
          <w:p>
            <w:r>
              <w:t>Learning</w:t>
            </w:r>
          </w:p>
        </w:tc>
        <w:tc>
          <w:tcPr>
            <w:tcW w:type="dxa" w:w="2160"/>
          </w:tcPr>
          <w:p>
            <w:r>
              <w:t>Course, lesson, assessment, certificate/credential, learning outcomes</w:t>
            </w:r>
          </w:p>
        </w:tc>
        <w:tc>
          <w:tcPr>
            <w:tcW w:type="dxa" w:w="2160"/>
          </w:tcPr>
          <w:p>
            <w:r>
              <w:t>Evidence/outcomes consumed by Awarding</w:t>
            </w:r>
          </w:p>
        </w:tc>
        <w:tc>
          <w:tcPr>
            <w:tcW w:type="dxa" w:w="2160"/>
          </w:tcPr>
          <w:p>
            <w:r>
              <w:t>Final Title qualification / Award lifecycle</w:t>
            </w:r>
          </w:p>
        </w:tc>
      </w:tr>
      <w:tr>
        <w:tc>
          <w:tcPr>
            <w:tcW w:type="dxa" w:w="2160"/>
          </w:tcPr>
          <w:p>
            <w:r>
              <w:t>Partnership Learning</w:t>
            </w:r>
          </w:p>
        </w:tc>
        <w:tc>
          <w:tcPr>
            <w:tcW w:type="dxa" w:w="2160"/>
          </w:tcPr>
          <w:p>
            <w:r>
              <w:t>Partner learning operations/results</w:t>
            </w:r>
          </w:p>
        </w:tc>
        <w:tc>
          <w:tcPr>
            <w:tcW w:type="dxa" w:w="2160"/>
          </w:tcPr>
          <w:p>
            <w:r>
              <w:t>Approved partner evidence/outcomes</w:t>
            </w:r>
          </w:p>
        </w:tc>
        <w:tc>
          <w:tcPr>
            <w:tcW w:type="dxa" w:w="2160"/>
          </w:tcPr>
          <w:p>
            <w:r>
              <w:t>Automatic Award authority</w:t>
            </w:r>
          </w:p>
        </w:tc>
      </w:tr>
      <w:tr>
        <w:tc>
          <w:tcPr>
            <w:tcW w:type="dxa" w:w="2160"/>
          </w:tcPr>
          <w:p>
            <w:r>
              <w:t>Commercial/Payment</w:t>
            </w:r>
          </w:p>
        </w:tc>
        <w:tc>
          <w:tcPr>
            <w:tcW w:type="dxa" w:w="2160"/>
          </w:tcPr>
          <w:p>
            <w:r>
              <w:t>Subscription/payment/entitlement</w:t>
            </w:r>
          </w:p>
        </w:tc>
        <w:tc>
          <w:tcPr>
            <w:tcW w:type="dxa" w:w="2160"/>
          </w:tcPr>
          <w:p>
            <w:r>
              <w:t>Commercial outcome if Awarding Rule requires it</w:t>
            </w:r>
          </w:p>
        </w:tc>
        <w:tc>
          <w:tcPr>
            <w:tcW w:type="dxa" w:w="2160"/>
          </w:tcPr>
          <w:p>
            <w:r>
              <w:t>Title issuance authority</w:t>
            </w:r>
          </w:p>
        </w:tc>
      </w:tr>
      <w:tr>
        <w:tc>
          <w:tcPr>
            <w:tcW w:type="dxa" w:w="2160"/>
          </w:tcPr>
          <w:p>
            <w:r>
              <w:t>Identity/RBAC</w:t>
            </w:r>
          </w:p>
        </w:tc>
        <w:tc>
          <w:tcPr>
            <w:tcW w:type="dxa" w:w="2160"/>
          </w:tcPr>
          <w:p>
            <w:r>
              <w:t>Identity, roles, permissions, RLS</w:t>
            </w:r>
          </w:p>
        </w:tc>
        <w:tc>
          <w:tcPr>
            <w:tcW w:type="dxa" w:w="2160"/>
          </w:tcPr>
          <w:p>
            <w:r>
              <w:t>Effective authorization signal</w:t>
            </w:r>
          </w:p>
        </w:tc>
        <w:tc>
          <w:tcPr>
            <w:tcW w:type="dxa" w:w="2160"/>
          </w:tcPr>
          <w:p>
            <w:r>
              <w:t>Qualification result</w:t>
            </w:r>
          </w:p>
        </w:tc>
      </w:tr>
      <w:tr>
        <w:tc>
          <w:tcPr>
            <w:tcW w:type="dxa" w:w="2160"/>
          </w:tcPr>
          <w:p>
            <w:r>
              <w:t>Profile</w:t>
            </w:r>
          </w:p>
        </w:tc>
        <w:tc>
          <w:tcPr>
            <w:tcW w:type="dxa" w:w="2160"/>
          </w:tcPr>
          <w:p>
            <w:r>
              <w:t>Presentation/read model of agent recognition</w:t>
            </w:r>
          </w:p>
        </w:tc>
        <w:tc>
          <w:tcPr>
            <w:tcW w:type="dxa" w:w="2160"/>
          </w:tcPr>
          <w:p>
            <w:r>
              <w:t>Display context</w:t>
            </w:r>
          </w:p>
        </w:tc>
        <w:tc>
          <w:tcPr>
            <w:tcW w:type="dxa" w:w="2160"/>
          </w:tcPr>
          <w:p>
            <w:r>
              <w:t>Award ownership/lifecycle</w:t>
            </w:r>
          </w:p>
        </w:tc>
      </w:tr>
      <w:tr>
        <w:tc>
          <w:tcPr>
            <w:tcW w:type="dxa" w:w="2160"/>
          </w:tcPr>
          <w:p>
            <w:r>
              <w:t>Title/Awarding</w:t>
            </w:r>
          </w:p>
        </w:tc>
        <w:tc>
          <w:tcPr>
            <w:tcW w:type="dxa" w:w="2160"/>
          </w:tcPr>
          <w:p>
            <w:r>
              <w:t>Title, Path/Rule versions, qualification, Award, lifecycle, appeal, provenance</w:t>
            </w:r>
          </w:p>
        </w:tc>
        <w:tc>
          <w:tcPr>
            <w:tcW w:type="dxa" w:w="2160"/>
          </w:tcPr>
          <w:p>
            <w:r>
              <w:t>Recognition state to Profile</w:t>
            </w:r>
          </w:p>
        </w:tc>
        <w:tc>
          <w:tcPr>
            <w:tcW w:type="dxa" w:w="2160"/>
          </w:tcPr>
          <w:p>
            <w:r>
              <w:t>Learning course state / payment ledger</w:t>
            </w:r>
          </w:p>
        </w:tc>
      </w:tr>
    </w:tbl>
    <w:p>
      <w:pPr>
        <w:pStyle w:val="Heading1"/>
      </w:pPr>
      <w:r>
        <w:t>6. Contradiction Scan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Potential Conflict</w:t>
            </w:r>
          </w:p>
        </w:tc>
        <w:tc>
          <w:tcPr>
            <w:tcW w:type="dxa" w:w="2160"/>
          </w:tcPr>
          <w:p>
            <w:r>
              <w:t>Finding</w:t>
            </w:r>
          </w:p>
        </w:tc>
        <w:tc>
          <w:tcPr>
            <w:tcW w:type="dxa" w:w="2160"/>
          </w:tcPr>
          <w:p>
            <w:r>
              <w:t>Resolution</w:t>
            </w:r>
          </w:p>
        </w:tc>
        <w:tc>
          <w:tcPr>
            <w:tcW w:type="dxa" w:w="2160"/>
          </w:tcPr>
          <w:p>
            <w:r>
              <w:t>Status</w:t>
            </w:r>
          </w:p>
        </w:tc>
      </w:tr>
      <w:tr>
        <w:tc>
          <w:tcPr>
            <w:tcW w:type="dxa" w:w="2160"/>
          </w:tcPr>
          <w:p>
            <w:r>
              <w:t>Impact 03 said OD-01 blocks schema; Impact 04 uses OD-01 B</w:t>
            </w:r>
          </w:p>
        </w:tc>
        <w:tc>
          <w:tcPr>
            <w:tcW w:type="dxa" w:w="2160"/>
          </w:tcPr>
          <w:p>
            <w:r>
              <w:t>Expected sequencing dependency.</w:t>
            </w:r>
          </w:p>
        </w:tc>
        <w:tc>
          <w:tcPr>
            <w:tcW w:type="dxa" w:w="2160"/>
          </w:tcPr>
          <w:p>
            <w:r>
              <w:t>OD-01 B is now closed; Impact 04 is valid downstream.</w:t>
            </w:r>
          </w:p>
        </w:tc>
        <w:tc>
          <w:tcPr>
            <w:tcW w:type="dxa" w:w="2160"/>
          </w:tcPr>
          <w:p>
            <w:r>
              <w:t>RESOLVED</w:t>
            </w:r>
          </w:p>
        </w:tc>
      </w:tr>
      <w:tr>
        <w:tc>
          <w:tcPr>
            <w:tcW w:type="dxa" w:w="2160"/>
          </w:tcPr>
          <w:p>
            <w:r>
              <w:t>Impact 06–09 still say OD-06 OPEN</w:t>
            </w:r>
          </w:p>
        </w:tc>
        <w:tc>
          <w:tcPr>
            <w:tcW w:type="dxa" w:w="2160"/>
          </w:tcPr>
          <w:p>
            <w:r>
              <w:t>Artifacts were authored before user decision.</w:t>
            </w:r>
          </w:p>
        </w:tc>
        <w:tc>
          <w:tcPr>
            <w:tcW w:type="dxa" w:w="2160"/>
          </w:tcPr>
          <w:p>
            <w:r>
              <w:t>OD-06 B supersedes the stale open wording for current consolidated state.</w:t>
            </w:r>
          </w:p>
        </w:tc>
        <w:tc>
          <w:tcPr>
            <w:tcW w:type="dxa" w:w="2160"/>
          </w:tcPr>
          <w:p>
            <w:r>
              <w:t>RESOLVED BY LATER DECISION</w:t>
            </w:r>
          </w:p>
        </w:tc>
      </w:tr>
      <w:tr>
        <w:tc>
          <w:tcPr>
            <w:tcW w:type="dxa" w:w="2160"/>
          </w:tcPr>
          <w:p>
            <w:r>
              <w:t>Title Version vs Path/Rule Version</w:t>
            </w:r>
          </w:p>
        </w:tc>
        <w:tc>
          <w:tcPr>
            <w:tcW w:type="dxa" w:w="2160"/>
          </w:tcPr>
          <w:p>
            <w:r>
              <w:t>Potential ambiguity.</w:t>
            </w:r>
          </w:p>
        </w:tc>
        <w:tc>
          <w:tcPr>
            <w:tcW w:type="dxa" w:w="2160"/>
          </w:tcPr>
          <w:p>
            <w:r>
              <w:t>Stable Title Identity; material qualification semantics versioned through Path/Rule.</w:t>
            </w:r>
          </w:p>
        </w:tc>
        <w:tc>
          <w:tcPr>
            <w:tcW w:type="dxa" w:w="2160"/>
          </w:tcPr>
          <w:p>
            <w:r>
              <w:t>RESOLVED</w:t>
            </w:r>
          </w:p>
        </w:tc>
      </w:tr>
      <w:tr>
        <w:tc>
          <w:tcPr>
            <w:tcW w:type="dxa" w:w="2160"/>
          </w:tcPr>
          <w:p>
            <w:r>
              <w:t>Certificate vs Award</w:t>
            </w:r>
          </w:p>
        </w:tc>
        <w:tc>
          <w:tcPr>
            <w:tcW w:type="dxa" w:w="2160"/>
          </w:tcPr>
          <w:p>
            <w:r>
              <w:t>Potential M04/M15 overlap.</w:t>
            </w:r>
          </w:p>
        </w:tc>
        <w:tc>
          <w:tcPr>
            <w:tcW w:type="dxa" w:w="2160"/>
          </w:tcPr>
          <w:p>
            <w:r>
              <w:t>Certificate remains M04; Award Instance remains M15.</w:t>
            </w:r>
          </w:p>
        </w:tc>
        <w:tc>
          <w:tcPr>
            <w:tcW w:type="dxa" w:w="2160"/>
          </w:tcPr>
          <w:p>
            <w:r>
              <w:t>RESOLVED</w:t>
            </w:r>
          </w:p>
        </w:tc>
      </w:tr>
      <w:tr>
        <w:tc>
          <w:tcPr>
            <w:tcW w:type="dxa" w:w="2160"/>
          </w:tcPr>
          <w:p>
            <w:r>
              <w:t>Authorization vs Qualification</w:t>
            </w:r>
          </w:p>
        </w:tc>
        <w:tc>
          <w:tcPr>
            <w:tcW w:type="dxa" w:w="2160"/>
          </w:tcPr>
          <w:p>
            <w:r>
              <w:t>Potential role/permission confusion.</w:t>
            </w:r>
          </w:p>
        </w:tc>
        <w:tc>
          <w:tcPr>
            <w:tcW w:type="dxa" w:w="2160"/>
          </w:tcPr>
          <w:p>
            <w:r>
              <w:t>Role + Permission + Authority/Scope authorizes action; qualification determines eligibility.</w:t>
            </w:r>
          </w:p>
        </w:tc>
        <w:tc>
          <w:tcPr>
            <w:tcW w:type="dxa" w:w="2160"/>
          </w:tcPr>
          <w:p>
            <w:r>
              <w:t>RESOLVED</w:t>
            </w:r>
          </w:p>
        </w:tc>
      </w:tr>
      <w:tr>
        <w:tc>
          <w:tcPr>
            <w:tcW w:type="dxa" w:w="2160"/>
          </w:tcPr>
          <w:p>
            <w:r>
              <w:t>OD-02/03/04/05 remain open</w:t>
            </w:r>
          </w:p>
        </w:tc>
        <w:tc>
          <w:tcPr>
            <w:tcW w:type="dxa" w:w="2160"/>
          </w:tcPr>
          <w:p>
            <w:r>
              <w:t>Could be mistaken as business-rule gaps.</w:t>
            </w:r>
          </w:p>
        </w:tc>
        <w:tc>
          <w:tcPr>
            <w:tcW w:type="dxa" w:w="2160"/>
          </w:tcPr>
          <w:p>
            <w:r>
              <w:t>They are controlled downstream design dependencies and are not silently closed.</w:t>
            </w:r>
          </w:p>
        </w:tc>
        <w:tc>
          <w:tcPr>
            <w:tcW w:type="dxa" w:w="2160"/>
          </w:tcPr>
          <w:p>
            <w:r>
              <w:t>OPEN / CONTROLLED</w:t>
            </w:r>
          </w:p>
        </w:tc>
      </w:tr>
      <w:tr>
        <w:tc>
          <w:tcPr>
            <w:tcW w:type="dxa" w:w="2160"/>
          </w:tcPr>
          <w:p>
            <w:r>
              <w:t>MADCR-049 residual</w:t>
            </w:r>
          </w:p>
        </w:tc>
        <w:tc>
          <w:tcPr>
            <w:tcW w:type="dxa" w:w="2160"/>
          </w:tcPr>
          <w:p>
            <w:r>
              <w:t>AEP2-derived residual explicitly must not be silently closed.</w:t>
            </w:r>
          </w:p>
        </w:tc>
        <w:tc>
          <w:tcPr>
            <w:tcW w:type="dxa" w:w="2160"/>
          </w:tcPr>
          <w:p>
            <w:r>
              <w:t>Retain as cross-AEP dependency until governing resolution.</w:t>
            </w:r>
          </w:p>
        </w:tc>
        <w:tc>
          <w:tcPr>
            <w:tcW w:type="dxa" w:w="2160"/>
          </w:tcPr>
          <w:p>
            <w:r>
              <w:t>OPEN / EXTERNAL DEPENDENCY</w:t>
            </w:r>
          </w:p>
        </w:tc>
      </w:tr>
    </w:tbl>
    <w:p>
      <w:pPr>
        <w:pStyle w:val="Heading1"/>
      </w:pPr>
      <w:r>
        <w:t>7. Residual Open Decisions / Dependencies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Item</w:t>
            </w:r>
          </w:p>
        </w:tc>
        <w:tc>
          <w:tcPr>
            <w:tcW w:type="dxa" w:w="1728"/>
          </w:tcPr>
          <w:p>
            <w:r>
              <w:t>Severity</w:t>
            </w:r>
          </w:p>
        </w:tc>
        <w:tc>
          <w:tcPr>
            <w:tcW w:type="dxa" w:w="1728"/>
          </w:tcPr>
          <w:p>
            <w:r>
              <w:t>Blocks AEP3 Semantic Completion?</w:t>
            </w:r>
          </w:p>
        </w:tc>
        <w:tc>
          <w:tcPr>
            <w:tcW w:type="dxa" w:w="1728"/>
          </w:tcPr>
          <w:p>
            <w:r>
              <w:t>Treatment</w:t>
            </w:r>
          </w:p>
        </w:tc>
      </w:tr>
      <w:tr>
        <w:tc>
          <w:tcPr>
            <w:tcW w:type="dxa" w:w="1728"/>
          </w:tcPr>
          <w:p>
            <w:r>
              <w:t>AEP3-OD-02</w:t>
            </w:r>
          </w:p>
        </w:tc>
        <w:tc>
          <w:tcPr>
            <w:tcW w:type="dxa" w:w="1728"/>
          </w:tcPr>
          <w:p>
            <w:r>
              <w:t>Authority/Scope cardinality for Agency/Organization/Partner/Platform</w:t>
            </w:r>
          </w:p>
        </w:tc>
        <w:tc>
          <w:tcPr>
            <w:tcW w:type="dxa" w:w="1728"/>
          </w:tcPr>
          <w:p>
            <w:r>
              <w:t>HIGH</w:t>
            </w:r>
          </w:p>
        </w:tc>
        <w:tc>
          <w:tcPr>
            <w:tcW w:type="dxa" w:w="1728"/>
          </w:tcPr>
          <w:p>
            <w:r>
              <w:t>NO</w:t>
            </w:r>
          </w:p>
        </w:tc>
        <w:tc>
          <w:tcPr>
            <w:tcW w:type="dxa" w:w="1728"/>
          </w:tcPr>
          <w:p>
            <w:r>
              <w:t>Carry into physical authority/RLS design; do not invent cardinality.</w:t>
            </w:r>
          </w:p>
        </w:tc>
      </w:tr>
      <w:tr>
        <w:tc>
          <w:tcPr>
            <w:tcW w:type="dxa" w:w="1728"/>
          </w:tcPr>
          <w:p>
            <w:r>
              <w:t>AEP3-OD-03</w:t>
            </w:r>
          </w:p>
        </w:tc>
        <w:tc>
          <w:tcPr>
            <w:tcW w:type="dxa" w:w="1728"/>
          </w:tcPr>
          <w:p>
            <w:r>
              <w:t>Lifecycle/Appeal storage mechanism</w:t>
            </w:r>
          </w:p>
        </w:tc>
        <w:tc>
          <w:tcPr>
            <w:tcW w:type="dxa" w:w="1728"/>
          </w:tcPr>
          <w:p>
            <w:r>
              <w:t>MEDIUM</w:t>
            </w:r>
          </w:p>
        </w:tc>
        <w:tc>
          <w:tcPr>
            <w:tcW w:type="dxa" w:w="1728"/>
          </w:tcPr>
          <w:p>
            <w:r>
              <w:t>NO</w:t>
            </w:r>
          </w:p>
        </w:tc>
        <w:tc>
          <w:tcPr>
            <w:tcW w:type="dxa" w:w="1728"/>
          </w:tcPr>
          <w:p>
            <w:r>
              <w:t>Engineering implementation decision; historical integrity already mandatory.</w:t>
            </w:r>
          </w:p>
        </w:tc>
      </w:tr>
      <w:tr>
        <w:tc>
          <w:tcPr>
            <w:tcW w:type="dxa" w:w="1728"/>
          </w:tcPr>
          <w:p>
            <w:r>
              <w:t>AEP3-OD-04</w:t>
            </w:r>
          </w:p>
        </w:tc>
        <w:tc>
          <w:tcPr>
            <w:tcW w:type="dxa" w:w="1728"/>
          </w:tcPr>
          <w:p>
            <w:r>
              <w:t>Rule lineage cardinality</w:t>
            </w:r>
          </w:p>
        </w:tc>
        <w:tc>
          <w:tcPr>
            <w:tcW w:type="dxa" w:w="1728"/>
          </w:tcPr>
          <w:p>
            <w:r>
              <w:t>MEDIUM</w:t>
            </w:r>
          </w:p>
        </w:tc>
        <w:tc>
          <w:tcPr>
            <w:tcW w:type="dxa" w:w="1728"/>
          </w:tcPr>
          <w:p>
            <w:r>
              <w:t>NO</w:t>
            </w:r>
          </w:p>
        </w:tc>
        <w:tc>
          <w:tcPr>
            <w:tcW w:type="dxa" w:w="1728"/>
          </w:tcPr>
          <w:p>
            <w:r>
              <w:t>Keep open because MADCR-041 does not lock physical cardinality.</w:t>
            </w:r>
          </w:p>
        </w:tc>
      </w:tr>
      <w:tr>
        <w:tc>
          <w:tcPr>
            <w:tcW w:type="dxa" w:w="1728"/>
          </w:tcPr>
          <w:p>
            <w:r>
              <w:t>AEP3-OD-05</w:t>
            </w:r>
          </w:p>
        </w:tc>
        <w:tc>
          <w:tcPr>
            <w:tcW w:type="dxa" w:w="1728"/>
          </w:tcPr>
          <w:p>
            <w:r>
              <w:t>Rule temporal/effective-date semantics</w:t>
            </w:r>
          </w:p>
        </w:tc>
        <w:tc>
          <w:tcPr>
            <w:tcW w:type="dxa" w:w="1728"/>
          </w:tcPr>
          <w:p>
            <w:r>
              <w:t>MEDIUM</w:t>
            </w:r>
          </w:p>
        </w:tc>
        <w:tc>
          <w:tcPr>
            <w:tcW w:type="dxa" w:w="1728"/>
          </w:tcPr>
          <w:p>
            <w:r>
              <w:t>NO</w:t>
            </w:r>
          </w:p>
        </w:tc>
        <w:tc>
          <w:tcPr>
            <w:tcW w:type="dxa" w:w="1728"/>
          </w:tcPr>
          <w:p>
            <w:r>
              <w:t>Keep open; no unsupported temporal invariant.</w:t>
            </w:r>
          </w:p>
        </w:tc>
      </w:tr>
      <w:tr>
        <w:tc>
          <w:tcPr>
            <w:tcW w:type="dxa" w:w="1728"/>
          </w:tcPr>
          <w:p>
            <w:r>
              <w:t>MADCR-049</w:t>
            </w:r>
          </w:p>
        </w:tc>
        <w:tc>
          <w:tcPr>
            <w:tcW w:type="dxa" w:w="1728"/>
          </w:tcPr>
          <w:p>
            <w:r>
              <w:t>AEP2 residual / re-evaluation</w:t>
            </w:r>
          </w:p>
        </w:tc>
        <w:tc>
          <w:tcPr>
            <w:tcW w:type="dxa" w:w="1728"/>
          </w:tcPr>
          <w:p>
            <w:r>
              <w:t>HIGH</w:t>
            </w:r>
          </w:p>
        </w:tc>
        <w:tc>
          <w:tcPr>
            <w:tcW w:type="dxa" w:w="1728"/>
          </w:tcPr>
          <w:p>
            <w:r>
              <w:t>NO for AEP3 semantic architecture</w:t>
            </w:r>
          </w:p>
        </w:tc>
        <w:tc>
          <w:tcPr>
            <w:tcW w:type="dxa" w:w="1728"/>
          </w:tcPr>
          <w:p>
            <w:r>
              <w:t>Do not silently close; track as cross-AEP governance dependency.</w:t>
            </w:r>
          </w:p>
        </w:tc>
      </w:tr>
    </w:tbl>
    <w:p>
      <w:pPr>
        <w:pStyle w:val="Heading1"/>
      </w:pPr>
      <w:r>
        <w:t>8. Traceability Gate</w:t>
      </w:r>
    </w:p>
    <w:p>
      <w:pPr>
        <w:pStyle w:val="ListBullet"/>
      </w:pPr>
      <w:r>
        <w:t>BR 001–100: semantic coverage established across architecture, schema, API, RBAC, user flow, PRD and tests.</w:t>
      </w:r>
    </w:p>
    <w:p>
      <w:pPr>
        <w:pStyle w:val="ListBullet"/>
      </w:pPr>
      <w:r>
        <w:t>MADCR-036/037/041/046: explicit coverage established.</w:t>
      </w:r>
    </w:p>
    <w:p>
      <w:pPr>
        <w:pStyle w:val="ListBullet"/>
      </w:pPr>
      <w:r>
        <w:t>AEP3-OD-01: closed and reflected in schema/version model.</w:t>
      </w:r>
    </w:p>
    <w:p>
      <w:pPr>
        <w:pStyle w:val="ListBullet"/>
      </w:pPr>
      <w:r>
        <w:t>AEP3-OD-06: closed and reflected in RBAC/API/RLS/service/test requirements.</w:t>
      </w:r>
    </w:p>
    <w:p>
      <w:pPr>
        <w:pStyle w:val="ListBullet"/>
      </w:pPr>
      <w:r>
        <w:t>No unresolved contradiction has been found that invalidates the target semantic architecture.</w:t>
      </w:r>
    </w:p>
    <w:p>
      <w:pPr>
        <w:pStyle w:val="ListBullet"/>
      </w:pPr>
      <w:r>
        <w:t>No physical implementation is authorized by this review.</w:t>
      </w:r>
    </w:p>
    <w:p>
      <w:pPr>
        <w:pStyle w:val="Heading1"/>
      </w:pPr>
      <w:r>
        <w:t>9. Synchronization Readiness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Gate</w:t>
            </w:r>
          </w:p>
        </w:tc>
        <w:tc>
          <w:tcPr>
            <w:tcW w:type="dxa" w:w="2160"/>
          </w:tcPr>
          <w:p>
            <w:r>
              <w:t>Result</w:t>
            </w:r>
          </w:p>
        </w:tc>
        <w:tc>
          <w:tcPr>
            <w:tcW w:type="dxa" w:w="2160"/>
          </w:tcPr>
          <w:p>
            <w:r>
              <w:t>Reason</w:t>
            </w:r>
          </w:p>
        </w:tc>
        <w:tc>
          <w:tcPr>
            <w:tcW w:type="dxa" w:w="2160"/>
          </w:tcPr>
          <w:p>
            <w:r>
              <w:t>Condition</w:t>
            </w:r>
          </w:p>
        </w:tc>
      </w:tr>
      <w:tr>
        <w:tc>
          <w:tcPr>
            <w:tcW w:type="dxa" w:w="2160"/>
          </w:tcPr>
          <w:p>
            <w:r>
              <w:t>Governance</w:t>
            </w:r>
          </w:p>
        </w:tc>
        <w:tc>
          <w:tcPr>
            <w:tcW w:type="dxa" w:w="2160"/>
          </w:tcPr>
          <w:p>
            <w:r>
              <w:t>PASS</w:t>
            </w:r>
          </w:p>
        </w:tc>
        <w:tc>
          <w:tcPr>
            <w:tcW w:type="dxa" w:w="2160"/>
          </w:tcPr>
          <w:p>
            <w:r>
              <w:t>AEP3 sequence and governing MADCR boundaries reconciled.</w:t>
            </w:r>
          </w:p>
        </w:tc>
        <w:tc>
          <w:tcPr>
            <w:tcW w:type="dxa" w:w="2160"/>
          </w:tcPr>
          <w:p>
            <w:r>
              <w:t>Do not reopen governing MADCRs without new evidence.</w:t>
            </w:r>
          </w:p>
        </w:tc>
      </w:tr>
      <w:tr>
        <w:tc>
          <w:tcPr>
            <w:tcW w:type="dxa" w:w="2160"/>
          </w:tcPr>
          <w:p>
            <w:r>
              <w:t>Business Rules</w:t>
            </w:r>
          </w:p>
        </w:tc>
        <w:tc>
          <w:tcPr>
            <w:tcW w:type="dxa" w:w="2160"/>
          </w:tcPr>
          <w:p>
            <w:r>
              <w:t>PASS</w:t>
            </w:r>
          </w:p>
        </w:tc>
        <w:tc>
          <w:tcPr>
            <w:tcW w:type="dxa" w:w="2160"/>
          </w:tcPr>
          <w:p>
            <w:r>
              <w:t>BR 001–100 used as normative baseline.</w:t>
            </w:r>
          </w:p>
        </w:tc>
        <w:tc>
          <w:tcPr>
            <w:tcW w:type="dxa" w:w="2160"/>
          </w:tcPr>
          <w:p>
            <w:r>
              <w:t>No silent reinterpretation.</w:t>
            </w:r>
          </w:p>
        </w:tc>
      </w:tr>
      <w:tr>
        <w:tc>
          <w:tcPr>
            <w:tcW w:type="dxa" w:w="2160"/>
          </w:tcPr>
          <w:p>
            <w:r>
              <w:t>Target Architecture</w:t>
            </w:r>
          </w:p>
        </w:tc>
        <w:tc>
          <w:tcPr>
            <w:tcW w:type="dxa" w:w="2160"/>
          </w:tcPr>
          <w:p>
            <w:r>
              <w:t>PASS</w:t>
            </w:r>
          </w:p>
        </w:tc>
        <w:tc>
          <w:tcPr>
            <w:tcW w:type="dxa" w:w="2160"/>
          </w:tcPr>
          <w:p>
            <w:r>
              <w:t>Title/Awarding conceptual model defined.</w:t>
            </w:r>
          </w:p>
        </w:tc>
        <w:tc>
          <w:tcPr>
            <w:tcW w:type="dxa" w:w="2160"/>
          </w:tcPr>
          <w:p>
            <w:r>
              <w:t>Implementation-neutral.</w:t>
            </w:r>
          </w:p>
        </w:tc>
      </w:tr>
      <w:tr>
        <w:tc>
          <w:tcPr>
            <w:tcW w:type="dxa" w:w="2160"/>
          </w:tcPr>
          <w:p>
            <w:r>
              <w:t>Schema/ERD</w:t>
            </w:r>
          </w:p>
        </w:tc>
        <w:tc>
          <w:tcPr>
            <w:tcW w:type="dxa" w:w="2160"/>
          </w:tcPr>
          <w:p>
            <w:r>
              <w:t>PASS WITH CONTROLLED OPEN</w:t>
            </w:r>
          </w:p>
        </w:tc>
        <w:tc>
          <w:tcPr>
            <w:tcW w:type="dxa" w:w="2160"/>
          </w:tcPr>
          <w:p>
            <w:r>
              <w:t>Logical entities/relationships defined.</w:t>
            </w:r>
          </w:p>
        </w:tc>
        <w:tc>
          <w:tcPr>
            <w:tcW w:type="dxa" w:w="2160"/>
          </w:tcPr>
          <w:p>
            <w:r>
              <w:t>Physical cardinalities remain controlled open where noted.</w:t>
            </w:r>
          </w:p>
        </w:tc>
      </w:tr>
      <w:tr>
        <w:tc>
          <w:tcPr>
            <w:tcW w:type="dxa" w:w="2160"/>
          </w:tcPr>
          <w:p>
            <w:r>
              <w:t>API</w:t>
            </w:r>
          </w:p>
        </w:tc>
        <w:tc>
          <w:tcPr>
            <w:tcW w:type="dxa" w:w="2160"/>
          </w:tcPr>
          <w:p>
            <w:r>
              <w:t>PASS WITH CONTROLLED DEFERMENTS</w:t>
            </w:r>
          </w:p>
        </w:tc>
        <w:tc>
          <w:tcPr>
            <w:tcW w:type="dxa" w:w="2160"/>
          </w:tcPr>
          <w:p>
            <w:r>
              <w:t>Semantic resources and boundaries defined.</w:t>
            </w:r>
          </w:p>
        </w:tc>
        <w:tc>
          <w:tcPr>
            <w:tcW w:type="dxa" w:w="2160"/>
          </w:tcPr>
          <w:p>
            <w:r>
              <w:t>Final endpoint/payload contract downstream.</w:t>
            </w:r>
          </w:p>
        </w:tc>
      </w:tr>
      <w:tr>
        <w:tc>
          <w:tcPr>
            <w:tcW w:type="dxa" w:w="2160"/>
          </w:tcPr>
          <w:p>
            <w:r>
              <w:t>RBAC/Authority</w:t>
            </w:r>
          </w:p>
        </w:tc>
        <w:tc>
          <w:tcPr>
            <w:tcW w:type="dxa" w:w="2160"/>
          </w:tcPr>
          <w:p>
            <w:r>
              <w:t>PASS</w:t>
            </w:r>
          </w:p>
        </w:tc>
        <w:tc>
          <w:tcPr>
            <w:tcW w:type="dxa" w:w="2160"/>
          </w:tcPr>
          <w:p>
            <w:r>
              <w:t>OD-06 B closed.</w:t>
            </w:r>
          </w:p>
        </w:tc>
        <w:tc>
          <w:tcPr>
            <w:tcW w:type="dxa" w:w="2160"/>
          </w:tcPr>
          <w:p>
            <w:r>
              <w:t>OD-02 still controls physical scope cardinality.</w:t>
            </w:r>
          </w:p>
        </w:tc>
      </w:tr>
      <w:tr>
        <w:tc>
          <w:tcPr>
            <w:tcW w:type="dxa" w:w="2160"/>
          </w:tcPr>
          <w:p>
            <w:r>
              <w:t>User Flow</w:t>
            </w:r>
          </w:p>
        </w:tc>
        <w:tc>
          <w:tcPr>
            <w:tcW w:type="dxa" w:w="2160"/>
          </w:tcPr>
          <w:p>
            <w:r>
              <w:t>PASS</w:t>
            </w:r>
          </w:p>
        </w:tc>
        <w:tc>
          <w:tcPr>
            <w:tcW w:type="dxa" w:w="2160"/>
          </w:tcPr>
          <w:p>
            <w:r>
              <w:t>Canonical earning/lifecycle/presentation flows defined.</w:t>
            </w:r>
          </w:p>
        </w:tc>
        <w:tc>
          <w:tcPr>
            <w:tcW w:type="dxa" w:w="2160"/>
          </w:tcPr>
          <w:p>
            <w:r>
              <w:t>Actor labels inherit OD-06.</w:t>
            </w:r>
          </w:p>
        </w:tc>
      </w:tr>
      <w:tr>
        <w:tc>
          <w:tcPr>
            <w:tcW w:type="dxa" w:w="2160"/>
          </w:tcPr>
          <w:p>
            <w:r>
              <w:t>PRD</w:t>
            </w:r>
          </w:p>
        </w:tc>
        <w:tc>
          <w:tcPr>
            <w:tcW w:type="dxa" w:w="2160"/>
          </w:tcPr>
          <w:p>
            <w:r>
              <w:t>PASS</w:t>
            </w:r>
          </w:p>
        </w:tc>
        <w:tc>
          <w:tcPr>
            <w:tcW w:type="dxa" w:w="2160"/>
          </w:tcPr>
          <w:p>
            <w:r>
              <w:t>Product capability and acceptance intent defined.</w:t>
            </w:r>
          </w:p>
        </w:tc>
        <w:tc>
          <w:tcPr>
            <w:tcW w:type="dxa" w:w="2160"/>
          </w:tcPr>
          <w:p>
            <w:r>
              <w:t>No implementation authorization.</w:t>
            </w:r>
          </w:p>
        </w:tc>
      </w:tr>
      <w:tr>
        <w:tc>
          <w:tcPr>
            <w:tcW w:type="dxa" w:w="2160"/>
          </w:tcPr>
          <w:p>
            <w:r>
              <w:t>Engineering</w:t>
            </w:r>
          </w:p>
        </w:tc>
        <w:tc>
          <w:tcPr>
            <w:tcW w:type="dxa" w:w="2160"/>
          </w:tcPr>
          <w:p>
            <w:r>
              <w:t>PASS</w:t>
            </w:r>
          </w:p>
        </w:tc>
        <w:tc>
          <w:tcPr>
            <w:tcW w:type="dxa" w:w="2160"/>
          </w:tcPr>
          <w:p>
            <w:r>
              <w:t>Service/domain ownership and transaction boundaries defined.</w:t>
            </w:r>
          </w:p>
        </w:tc>
        <w:tc>
          <w:tcPr>
            <w:tcW w:type="dxa" w:w="2160"/>
          </w:tcPr>
          <w:p>
            <w:r>
              <w:t>Technology choices deferred.</w:t>
            </w:r>
          </w:p>
        </w:tc>
      </w:tr>
      <w:tr>
        <w:tc>
          <w:tcPr>
            <w:tcW w:type="dxa" w:w="2160"/>
          </w:tcPr>
          <w:p>
            <w:r>
              <w:t>Traceability/Test</w:t>
            </w:r>
          </w:p>
        </w:tc>
        <w:tc>
          <w:tcPr>
            <w:tcW w:type="dxa" w:w="2160"/>
          </w:tcPr>
          <w:p>
            <w:r>
              <w:t>PASS</w:t>
            </w:r>
          </w:p>
        </w:tc>
        <w:tc>
          <w:tcPr>
            <w:tcW w:type="dxa" w:w="2160"/>
          </w:tcPr>
          <w:p>
            <w:r>
              <w:t>Major BR/MADCR clusters mapped to acceptance scenarios.</w:t>
            </w:r>
          </w:p>
        </w:tc>
        <w:tc>
          <w:tcPr>
            <w:tcW w:type="dxa" w:w="2160"/>
          </w:tcPr>
          <w:p>
            <w:r>
              <w:t>Physical test implementation downstream.</w:t>
            </w:r>
          </w:p>
        </w:tc>
      </w:tr>
      <w:tr>
        <w:tc>
          <w:tcPr>
            <w:tcW w:type="dxa" w:w="2160"/>
          </w:tcPr>
          <w:p>
            <w:r>
              <w:t>Synchronization</w:t>
            </w:r>
          </w:p>
        </w:tc>
        <w:tc>
          <w:tcPr>
            <w:tcW w:type="dxa" w:w="2160"/>
          </w:tcPr>
          <w:p>
            <w:r>
              <w:t>READY FOR CONTROLLED PACKAGE</w:t>
            </w:r>
          </w:p>
        </w:tc>
        <w:tc>
          <w:tcPr>
            <w:tcW w:type="dxa" w:w="2160"/>
          </w:tcPr>
          <w:p>
            <w:r>
              <w:t>No semantic blocker found.</w:t>
            </w:r>
          </w:p>
        </w:tc>
        <w:tc>
          <w:tcPr>
            <w:tcW w:type="dxa" w:w="2160"/>
          </w:tcPr>
          <w:p>
            <w:r>
              <w:t>Must not perform global baseline update until AEP1–AEP4 completion.</w:t>
            </w:r>
          </w:p>
        </w:tc>
      </w:tr>
    </w:tbl>
    <w:p>
      <w:pPr>
        <w:pStyle w:val="Heading1"/>
      </w:pPr>
      <w:r>
        <w:t>10. Critical Governance Restriction</w:t>
      </w:r>
    </w:p>
    <w:p>
      <w:r>
        <w:t>AEP #3 is semantically architecture-complete, but this does NOT authorize global synchronization of all project documents. The AEP synchronization execution lock requires the project to follow the locked AEP sequence and defer global baseline synchronization until the required AEP set is finalized. Therefore the next action is a controlled AEP3 package, not a project-wide rewrite.</w:t>
      </w:r>
    </w:p>
    <w:p>
      <w:pPr>
        <w:pStyle w:val="Heading1"/>
      </w:pPr>
      <w:r>
        <w:t>11. AEP #3 Consolidated Decision</w:t>
      </w:r>
    </w:p>
    <w:p>
      <w:r>
        <w:rPr>
          <w:b/>
        </w:rPr>
        <w:t>RESULT: PASS — AEP #3 SEMANTIC ARCHITECTURE COMPLETE</w:t>
      </w:r>
    </w:p>
    <w:p>
      <w:r>
        <w:t>AEP #3 has sufficient evidence and resolved decisions to be treated as the authoritative semantic architecture package for Title/Awarding. The remaining open items are controlled downstream dependencies, not contradictions. AEP #3 can proceed to a controlled synchronization package and later baseline synchronization according to the locked AEP execution sequence.</w:t>
      </w:r>
    </w:p>
    <w:p>
      <w:pPr>
        <w:pStyle w:val="Heading1"/>
      </w:pPr>
      <w:r>
        <w:t>12. Next Step — Controlled AEP3 Synchronization Package</w:t>
      </w:r>
    </w:p>
    <w:p>
      <w:r>
        <w:t>The next step is to prepare the AEP3 Final Synchronization Package: decision register, consolidated architecture summary, impacted-baseline list, required downstream document updates, and explicit deferred items. No global project baseline is overwritten at this stage.</w:t>
      </w:r>
    </w:p>
    <w:p>
      <w:pPr>
        <w:pStyle w:val="Heading1"/>
      </w:pPr>
      <w:r>
        <w:t>13. Artifact Control</w:t>
      </w:r>
    </w:p>
    <w:p>
      <w:r>
        <w:t>Artifact ID: AEP3-Consolidation-Architecture-Review</w:t>
      </w:r>
    </w:p>
    <w:p>
      <w:r>
        <w:t>AEP: #3 — Title / Awarding Business Rules</w:t>
      </w:r>
    </w:p>
    <w:p>
      <w:r>
        <w:t>Status: PASS — SEMANTIC ARCHITECTURE COMPLETE</w:t>
      </w:r>
    </w:p>
    <w:p>
      <w:r>
        <w:t>Implementation authorization: NOT GRANTED</w:t>
      </w:r>
    </w:p>
    <w:p>
      <w:r>
        <w:t>Global synchronization authorization: DEFERRED</w:t>
      </w:r>
    </w:p>
    <w:p>
      <w:r>
        <w:t>Next step: AEP3 Final Synchronization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