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RUMAHAGEN — AEP #3</w:t>
      </w:r>
    </w:p>
    <w:p>
      <w:pPr>
        <w:jc w:val="center"/>
      </w:pPr>
      <w:r>
        <w:rPr>
          <w:b/>
          <w:sz w:val="36"/>
        </w:rPr>
        <w:t>FINAL SYNCHRONIZATION PACKAGE</w:t>
      </w:r>
    </w:p>
    <w:p>
      <w:pPr>
        <w:jc w:val="center"/>
      </w:pPr>
      <w:r>
        <w:rPr>
          <w:i/>
        </w:rPr>
        <w:t>Version 1.0 | Status: READY FOR CONTROLLED PER-AEP SYNCHRONIZATION</w:t>
      </w:r>
    </w:p>
    <w:p>
      <w:pPr>
        <w:pStyle w:val="Heading1"/>
      </w:pPr>
      <w:r>
        <w:t>1. Package Purpose</w:t>
      </w:r>
    </w:p>
    <w:p>
      <w:r>
        <w:t>Package ini adalah canonical handoff artifact untuk AEP #3 setelah seluruh Impact 01–10, OD-01, OD-06, dan Consolidation &amp; Architecture Review selesai. Package ini menentukan apa yang dianggap authoritative, dokumen mana yang harus menerima impact, apa yang sengaja ditunda, dan apa yang tidak boleh diubah pada tahap ini.</w:t>
      </w:r>
    </w:p>
    <w:p>
      <w:pPr>
        <w:pStyle w:val="Heading1"/>
      </w:pPr>
      <w:r>
        <w:t>2. AEP #3 Final Status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Gate</w:t>
            </w:r>
          </w:p>
        </w:tc>
        <w:tc>
          <w:tcPr>
            <w:tcW w:type="dxa" w:w="2880"/>
          </w:tcPr>
          <w:p>
            <w:r>
              <w:t>Status</w:t>
            </w:r>
          </w:p>
        </w:tc>
        <w:tc>
          <w:tcPr>
            <w:tcW w:type="dxa" w:w="2880"/>
          </w:tcPr>
          <w:p>
            <w:r>
              <w:t>Note</w:t>
            </w:r>
          </w:p>
        </w:tc>
      </w:tr>
      <w:tr>
        <w:tc>
          <w:tcPr>
            <w:tcW w:type="dxa" w:w="2880"/>
          </w:tcPr>
          <w:p>
            <w:r>
              <w:t>Governance / Current Architecture</w:t>
            </w:r>
          </w:p>
        </w:tc>
        <w:tc>
          <w:tcPr>
            <w:tcW w:type="dxa" w:w="2880"/>
          </w:tcPr>
          <w:p>
            <w:r>
              <w:t>PASS</w:t>
            </w:r>
          </w:p>
        </w:tc>
        <w:tc>
          <w:tcPr>
            <w:tcW w:type="dxa" w:w="2880"/>
          </w:tcPr>
          <w:p>
            <w:r>
              <w:t>Impact 01 complete.</w:t>
            </w:r>
          </w:p>
        </w:tc>
      </w:tr>
      <w:tr>
        <w:tc>
          <w:tcPr>
            <w:tcW w:type="dxa" w:w="2880"/>
          </w:tcPr>
          <w:p>
            <w:r>
              <w:t>Target Domain Architecture</w:t>
            </w:r>
          </w:p>
        </w:tc>
        <w:tc>
          <w:tcPr>
            <w:tcW w:type="dxa" w:w="2880"/>
          </w:tcPr>
          <w:p>
            <w:r>
              <w:t>PASS</w:t>
            </w:r>
          </w:p>
        </w:tc>
        <w:tc>
          <w:tcPr>
            <w:tcW w:type="dxa" w:w="2880"/>
          </w:tcPr>
          <w:p>
            <w:r>
              <w:t>Title/Awarding domain defined.</w:t>
            </w:r>
          </w:p>
        </w:tc>
      </w:tr>
      <w:tr>
        <w:tc>
          <w:tcPr>
            <w:tcW w:type="dxa" w:w="2880"/>
          </w:tcPr>
          <w:p>
            <w:r>
              <w:t>ERD / Entity Relationship</w:t>
            </w:r>
          </w:p>
        </w:tc>
        <w:tc>
          <w:tcPr>
            <w:tcW w:type="dxa" w:w="2880"/>
          </w:tcPr>
          <w:p>
            <w:r>
              <w:t>PASS</w:t>
            </w:r>
          </w:p>
        </w:tc>
        <w:tc>
          <w:tcPr>
            <w:tcW w:type="dxa" w:w="2880"/>
          </w:tcPr>
          <w:p>
            <w:r>
              <w:t>Impact 03 complete; no Title Identity Version entity.</w:t>
            </w:r>
          </w:p>
        </w:tc>
      </w:tr>
      <w:tr>
        <w:tc>
          <w:tcPr>
            <w:tcW w:type="dxa" w:w="2880"/>
          </w:tcPr>
          <w:p>
            <w:r>
              <w:t>Schema / Database</w:t>
            </w:r>
          </w:p>
        </w:tc>
        <w:tc>
          <w:tcPr>
            <w:tcW w:type="dxa" w:w="2880"/>
          </w:tcPr>
          <w:p>
            <w:r>
              <w:t>PASS WITH CONTROLLED OPEN</w:t>
            </w:r>
          </w:p>
        </w:tc>
        <w:tc>
          <w:tcPr>
            <w:tcW w:type="dxa" w:w="2880"/>
          </w:tcPr>
          <w:p>
            <w:r>
              <w:t>Logical schema only; physical migration not authorized.</w:t>
            </w:r>
          </w:p>
        </w:tc>
      </w:tr>
      <w:tr>
        <w:tc>
          <w:tcPr>
            <w:tcW w:type="dxa" w:w="2880"/>
          </w:tcPr>
          <w:p>
            <w:r>
              <w:t>API</w:t>
            </w:r>
          </w:p>
        </w:tc>
        <w:tc>
          <w:tcPr>
            <w:tcW w:type="dxa" w:w="2880"/>
          </w:tcPr>
          <w:p>
            <w:r>
              <w:t>PASS WITH CONTROLLED DEFERMENTS</w:t>
            </w:r>
          </w:p>
        </w:tc>
        <w:tc>
          <w:tcPr>
            <w:tcW w:type="dxa" w:w="2880"/>
          </w:tcPr>
          <w:p>
            <w:r>
              <w:t>Semantic API capabilities defined.</w:t>
            </w:r>
          </w:p>
        </w:tc>
      </w:tr>
      <w:tr>
        <w:tc>
          <w:tcPr>
            <w:tcW w:type="dxa" w:w="2880"/>
          </w:tcPr>
          <w:p>
            <w:r>
              <w:t>RBAC / Authority</w:t>
            </w:r>
          </w:p>
        </w:tc>
        <w:tc>
          <w:tcPr>
            <w:tcW w:type="dxa" w:w="2880"/>
          </w:tcPr>
          <w:p>
            <w:r>
              <w:t>PASS</w:t>
            </w:r>
          </w:p>
        </w:tc>
        <w:tc>
          <w:tcPr>
            <w:tcW w:type="dxa" w:w="2880"/>
          </w:tcPr>
          <w:p>
            <w:r>
              <w:t>OD-06 B closed.</w:t>
            </w:r>
          </w:p>
        </w:tc>
      </w:tr>
      <w:tr>
        <w:tc>
          <w:tcPr>
            <w:tcW w:type="dxa" w:w="2880"/>
          </w:tcPr>
          <w:p>
            <w:r>
              <w:t>User Flow</w:t>
            </w:r>
          </w:p>
        </w:tc>
        <w:tc>
          <w:tcPr>
            <w:tcW w:type="dxa" w:w="2880"/>
          </w:tcPr>
          <w:p>
            <w:r>
              <w:t>PASS</w:t>
            </w:r>
          </w:p>
        </w:tc>
        <w:tc>
          <w:tcPr>
            <w:tcW w:type="dxa" w:w="2880"/>
          </w:tcPr>
          <w:p>
            <w:r>
              <w:t>Canonical earning/lifecycle/presentation flows defined.</w:t>
            </w:r>
          </w:p>
        </w:tc>
      </w:tr>
      <w:tr>
        <w:tc>
          <w:tcPr>
            <w:tcW w:type="dxa" w:w="2880"/>
          </w:tcPr>
          <w:p>
            <w:r>
              <w:t>PRD</w:t>
            </w:r>
          </w:p>
        </w:tc>
        <w:tc>
          <w:tcPr>
            <w:tcW w:type="dxa" w:w="2880"/>
          </w:tcPr>
          <w:p>
            <w:r>
              <w:t>PASS</w:t>
            </w:r>
          </w:p>
        </w:tc>
        <w:tc>
          <w:tcPr>
            <w:tcW w:type="dxa" w:w="2880"/>
          </w:tcPr>
          <w:p>
            <w:r>
              <w:t>Product requirements and acceptance intent defined.</w:t>
            </w:r>
          </w:p>
        </w:tc>
      </w:tr>
      <w:tr>
        <w:tc>
          <w:tcPr>
            <w:tcW w:type="dxa" w:w="2880"/>
          </w:tcPr>
          <w:p>
            <w:r>
              <w:t>Engineering</w:t>
            </w:r>
          </w:p>
        </w:tc>
        <w:tc>
          <w:tcPr>
            <w:tcW w:type="dxa" w:w="2880"/>
          </w:tcPr>
          <w:p>
            <w:r>
              <w:t>PASS</w:t>
            </w:r>
          </w:p>
        </w:tc>
        <w:tc>
          <w:tcPr>
            <w:tcW w:type="dxa" w:w="2880"/>
          </w:tcPr>
          <w:p>
            <w:r>
              <w:t>Service boundaries defined.</w:t>
            </w:r>
          </w:p>
        </w:tc>
      </w:tr>
      <w:tr>
        <w:tc>
          <w:tcPr>
            <w:tcW w:type="dxa" w:w="2880"/>
          </w:tcPr>
          <w:p>
            <w:r>
              <w:t>Traceability/Test</w:t>
            </w:r>
          </w:p>
        </w:tc>
        <w:tc>
          <w:tcPr>
            <w:tcW w:type="dxa" w:w="2880"/>
          </w:tcPr>
          <w:p>
            <w:r>
              <w:t>PASS</w:t>
            </w:r>
          </w:p>
        </w:tc>
        <w:tc>
          <w:tcPr>
            <w:tcW w:type="dxa" w:w="2880"/>
          </w:tcPr>
          <w:p>
            <w:r>
              <w:t>BR/MADCR coverage established.</w:t>
            </w:r>
          </w:p>
        </w:tc>
      </w:tr>
      <w:tr>
        <w:tc>
          <w:tcPr>
            <w:tcW w:type="dxa" w:w="2880"/>
          </w:tcPr>
          <w:p>
            <w:r>
              <w:t>Consolidation Review</w:t>
            </w:r>
          </w:p>
        </w:tc>
        <w:tc>
          <w:tcPr>
            <w:tcW w:type="dxa" w:w="2880"/>
          </w:tcPr>
          <w:p>
            <w:r>
              <w:t>PASS</w:t>
            </w:r>
          </w:p>
        </w:tc>
        <w:tc>
          <w:tcPr>
            <w:tcW w:type="dxa" w:w="2880"/>
          </w:tcPr>
          <w:p>
            <w:r>
              <w:t>No semantic contradiction found.</w:t>
            </w:r>
          </w:p>
        </w:tc>
      </w:tr>
      <w:tr>
        <w:tc>
          <w:tcPr>
            <w:tcW w:type="dxa" w:w="2880"/>
          </w:tcPr>
          <w:p>
            <w:r>
              <w:t>AEP #3</w:t>
            </w:r>
          </w:p>
        </w:tc>
        <w:tc>
          <w:tcPr>
            <w:tcW w:type="dxa" w:w="2880"/>
          </w:tcPr>
          <w:p>
            <w:r>
              <w:t>SEMANTIC ARCHITECTURE COMPLETE</w:t>
            </w:r>
          </w:p>
        </w:tc>
        <w:tc>
          <w:tcPr>
            <w:tcW w:type="dxa" w:w="2880"/>
          </w:tcPr>
          <w:p>
            <w:r>
              <w:t>Ready for controlled per-AEP synchronization.</w:t>
            </w:r>
          </w:p>
        </w:tc>
      </w:tr>
      <w:tr>
        <w:tc>
          <w:tcPr>
            <w:tcW w:type="dxa" w:w="2880"/>
          </w:tcPr>
          <w:p>
            <w:r>
              <w:t>Global Project Sync</w:t>
            </w:r>
          </w:p>
        </w:tc>
        <w:tc>
          <w:tcPr>
            <w:tcW w:type="dxa" w:w="2880"/>
          </w:tcPr>
          <w:p>
            <w:r>
              <w:t>DEFERRED</w:t>
            </w:r>
          </w:p>
        </w:tc>
        <w:tc>
          <w:tcPr>
            <w:tcW w:type="dxa" w:w="2880"/>
          </w:tcPr>
          <w:p>
            <w:r>
              <w:t>Must wait for locked AEP #1–#4 sequence.</w:t>
            </w:r>
          </w:p>
        </w:tc>
      </w:tr>
    </w:tbl>
    <w:p>
      <w:pPr>
        <w:pStyle w:val="Heading1"/>
      </w:pPr>
      <w:r>
        <w:t>3. Canonical Decisions</w:t>
      </w:r>
    </w:p>
    <w:p>
      <w:pPr>
        <w:pStyle w:val="ListBullet"/>
      </w:pPr>
      <w:r>
        <w:t>AEP3-OD-01 = B: Title Identity remains stable; no dedicated Title Identity Version entity in AEP #3. Material qualification semantics are versioned through Awarding Path Version and/or Awarding Rule Version.</w:t>
      </w:r>
    </w:p>
    <w:p>
      <w:pPr>
        <w:pStyle w:val="ListBullet"/>
      </w:pPr>
      <w:r>
        <w:t>AEP3-OD-06 = B: No dedicated Issuer/Awarding Authority role. Effective authority = existing actor role + capability permission + explicit Authority/Scope Binding.</w:t>
      </w:r>
    </w:p>
    <w:p>
      <w:pPr>
        <w:pStyle w:val="ListBullet"/>
      </w:pPr>
      <w:r>
        <w:t>M04 Certificate/Credential remains distinct from M15 Title/Award Instance.</w:t>
      </w:r>
    </w:p>
    <w:p>
      <w:pPr>
        <w:pStyle w:val="ListBullet"/>
      </w:pPr>
      <w:r>
        <w:t>Learning and Partnership Learning provide evidence/outcomes where the applicable Awarding Path/Rule permits; Awarding remains qualification/award authority.</w:t>
      </w:r>
    </w:p>
    <w:p>
      <w:pPr>
        <w:pStyle w:val="ListBullet"/>
      </w:pPr>
      <w:r>
        <w:t>Commercial/Payment does not directly grant Award unless explicitly consumed as a governed qualification condition.</w:t>
      </w:r>
    </w:p>
    <w:p>
      <w:pPr>
        <w:pStyle w:val="ListBullet"/>
      </w:pPr>
      <w:r>
        <w:t>Award Instance preserves historical provenance and is not recreated for successful appeal restoration.</w:t>
      </w:r>
    </w:p>
    <w:p>
      <w:pPr>
        <w:pStyle w:val="Heading1"/>
      </w:pPr>
      <w:r>
        <w:t>4. AEP3 Artifact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Artifact</w:t>
            </w:r>
          </w:p>
        </w:tc>
        <w:tc>
          <w:tcPr>
            <w:tcW w:type="dxa" w:w="2160"/>
          </w:tcPr>
          <w:p>
            <w:r>
              <w:t>Version</w:t>
            </w:r>
          </w:p>
        </w:tc>
        <w:tc>
          <w:tcPr>
            <w:tcW w:type="dxa" w:w="2160"/>
          </w:tcPr>
          <w:p>
            <w:r>
              <w:t>Status</w:t>
            </w:r>
          </w:p>
        </w:tc>
        <w:tc>
          <w:tcPr>
            <w:tcW w:type="dxa" w:w="2160"/>
          </w:tcPr>
          <w:p>
            <w:r>
              <w:t>Role in Canonical Package</w:t>
            </w:r>
          </w:p>
        </w:tc>
      </w:tr>
      <w:tr>
        <w:tc>
          <w:tcPr>
            <w:tcW w:type="dxa" w:w="2160"/>
          </w:tcPr>
          <w:p>
            <w:r>
              <w:t>AEP3 Impact 01 — Governance &amp; Current Architecture</w:t>
            </w:r>
          </w:p>
        </w:tc>
        <w:tc>
          <w:tcPr>
            <w:tcW w:type="dxa" w:w="2160"/>
          </w:tcPr>
          <w:p>
            <w:r>
              <w:t>v1.0</w:t>
            </w:r>
          </w:p>
        </w:tc>
        <w:tc>
          <w:tcPr>
            <w:tcW w:type="dxa" w:w="2160"/>
          </w:tcPr>
          <w:p>
            <w:r>
              <w:t>Complete</w:t>
            </w:r>
          </w:p>
        </w:tc>
        <w:tc>
          <w:tcPr>
            <w:tcW w:type="dxa" w:w="2160"/>
          </w:tcPr>
          <w:p>
            <w:r>
              <w:t>Current-state and governance impact</w:t>
            </w:r>
          </w:p>
        </w:tc>
      </w:tr>
      <w:tr>
        <w:tc>
          <w:tcPr>
            <w:tcW w:type="dxa" w:w="2160"/>
          </w:tcPr>
          <w:p>
            <w:r>
              <w:t>AEP3 Impact 02 — Target Title/Awarding Domain Architecture</w:t>
            </w:r>
          </w:p>
        </w:tc>
        <w:tc>
          <w:tcPr>
            <w:tcW w:type="dxa" w:w="2160"/>
          </w:tcPr>
          <w:p>
            <w:r>
              <w:t>v1.0</w:t>
            </w:r>
          </w:p>
        </w:tc>
        <w:tc>
          <w:tcPr>
            <w:tcW w:type="dxa" w:w="2160"/>
          </w:tcPr>
          <w:p>
            <w:r>
              <w:t>Complete</w:t>
            </w:r>
          </w:p>
        </w:tc>
        <w:tc>
          <w:tcPr>
            <w:tcW w:type="dxa" w:w="2160"/>
          </w:tcPr>
          <w:p>
            <w:r>
              <w:t>Target semantic architecture</w:t>
            </w:r>
          </w:p>
        </w:tc>
      </w:tr>
      <w:tr>
        <w:tc>
          <w:tcPr>
            <w:tcW w:type="dxa" w:w="2160"/>
          </w:tcPr>
          <w:p>
            <w:r>
              <w:t>AEP3 Impact 03 — ERD Entity/Relationship Impact</w:t>
            </w:r>
          </w:p>
        </w:tc>
        <w:tc>
          <w:tcPr>
            <w:tcW w:type="dxa" w:w="2160"/>
          </w:tcPr>
          <w:p>
            <w:r>
              <w:t>v1.0</w:t>
            </w:r>
          </w:p>
        </w:tc>
        <w:tc>
          <w:tcPr>
            <w:tcW w:type="dxa" w:w="2160"/>
          </w:tcPr>
          <w:p>
            <w:r>
              <w:t>Complete</w:t>
            </w:r>
          </w:p>
        </w:tc>
        <w:tc>
          <w:tcPr>
            <w:tcW w:type="dxa" w:w="2160"/>
          </w:tcPr>
          <w:p>
            <w:r>
              <w:t>Entity/relationship impact</w:t>
            </w:r>
          </w:p>
        </w:tc>
      </w:tr>
      <w:tr>
        <w:tc>
          <w:tcPr>
            <w:tcW w:type="dxa" w:w="2160"/>
          </w:tcPr>
          <w:p>
            <w:r>
              <w:t>AEP3 OD-01 — Title Identity Version Decision</w:t>
            </w:r>
          </w:p>
        </w:tc>
        <w:tc>
          <w:tcPr>
            <w:tcW w:type="dxa" w:w="2160"/>
          </w:tcPr>
          <w:p>
            <w:r>
              <w:t>v1.0</w:t>
            </w:r>
          </w:p>
        </w:tc>
        <w:tc>
          <w:tcPr>
            <w:tcW w:type="dxa" w:w="2160"/>
          </w:tcPr>
          <w:p>
            <w:r>
              <w:t>Closed B</w:t>
            </w:r>
          </w:p>
        </w:tc>
        <w:tc>
          <w:tcPr>
            <w:tcW w:type="dxa" w:w="2160"/>
          </w:tcPr>
          <w:p>
            <w:r>
              <w:t>Versioning decision</w:t>
            </w:r>
          </w:p>
        </w:tc>
      </w:tr>
      <w:tr>
        <w:tc>
          <w:tcPr>
            <w:tcW w:type="dxa" w:w="2160"/>
          </w:tcPr>
          <w:p>
            <w:r>
              <w:t>AEP3 Impact 04 — Schema/Database Impact</w:t>
            </w:r>
          </w:p>
        </w:tc>
        <w:tc>
          <w:tcPr>
            <w:tcW w:type="dxa" w:w="2160"/>
          </w:tcPr>
          <w:p>
            <w:r>
              <w:t>v1.0</w:t>
            </w:r>
          </w:p>
        </w:tc>
        <w:tc>
          <w:tcPr>
            <w:tcW w:type="dxa" w:w="2160"/>
          </w:tcPr>
          <w:p>
            <w:r>
              <w:t>Complete</w:t>
            </w:r>
          </w:p>
        </w:tc>
        <w:tc>
          <w:tcPr>
            <w:tcW w:type="dxa" w:w="2160"/>
          </w:tcPr>
          <w:p>
            <w:r>
              <w:t>Logical schema impact</w:t>
            </w:r>
          </w:p>
        </w:tc>
      </w:tr>
      <w:tr>
        <w:tc>
          <w:tcPr>
            <w:tcW w:type="dxa" w:w="2160"/>
          </w:tcPr>
          <w:p>
            <w:r>
              <w:t>AEP3 Impact 05 — API Synchronization/Contract Impact</w:t>
            </w:r>
          </w:p>
        </w:tc>
        <w:tc>
          <w:tcPr>
            <w:tcW w:type="dxa" w:w="2160"/>
          </w:tcPr>
          <w:p>
            <w:r>
              <w:t>v1.0</w:t>
            </w:r>
          </w:p>
        </w:tc>
        <w:tc>
          <w:tcPr>
            <w:tcW w:type="dxa" w:w="2160"/>
          </w:tcPr>
          <w:p>
            <w:r>
              <w:t>Complete</w:t>
            </w:r>
          </w:p>
        </w:tc>
        <w:tc>
          <w:tcPr>
            <w:tcW w:type="dxa" w:w="2160"/>
          </w:tcPr>
          <w:p>
            <w:r>
              <w:t>Semantic API capabilities</w:t>
            </w:r>
          </w:p>
        </w:tc>
      </w:tr>
      <w:tr>
        <w:tc>
          <w:tcPr>
            <w:tcW w:type="dxa" w:w="2160"/>
          </w:tcPr>
          <w:p>
            <w:r>
              <w:t>AEP3 Impact 06 — RBAC/Permission Impact</w:t>
            </w:r>
          </w:p>
        </w:tc>
        <w:tc>
          <w:tcPr>
            <w:tcW w:type="dxa" w:w="2160"/>
          </w:tcPr>
          <w:p>
            <w:r>
              <w:t>v1.0</w:t>
            </w:r>
          </w:p>
        </w:tc>
        <w:tc>
          <w:tcPr>
            <w:tcW w:type="dxa" w:w="2160"/>
          </w:tcPr>
          <w:p>
            <w:r>
              <w:t>Complete</w:t>
            </w:r>
          </w:p>
        </w:tc>
        <w:tc>
          <w:tcPr>
            <w:tcW w:type="dxa" w:w="2160"/>
          </w:tcPr>
          <w:p>
            <w:r>
              <w:t>Authorization impact</w:t>
            </w:r>
          </w:p>
        </w:tc>
      </w:tr>
      <w:tr>
        <w:tc>
          <w:tcPr>
            <w:tcW w:type="dxa" w:w="2160"/>
          </w:tcPr>
          <w:p>
            <w:r>
              <w:t>AEP3 Impact 07 — User Flow Impact</w:t>
            </w:r>
          </w:p>
        </w:tc>
        <w:tc>
          <w:tcPr>
            <w:tcW w:type="dxa" w:w="2160"/>
          </w:tcPr>
          <w:p>
            <w:r>
              <w:t>v1.0</w:t>
            </w:r>
          </w:p>
        </w:tc>
        <w:tc>
          <w:tcPr>
            <w:tcW w:type="dxa" w:w="2160"/>
          </w:tcPr>
          <w:p>
            <w:r>
              <w:t>Complete</w:t>
            </w:r>
          </w:p>
        </w:tc>
        <w:tc>
          <w:tcPr>
            <w:tcW w:type="dxa" w:w="2160"/>
          </w:tcPr>
          <w:p>
            <w:r>
              <w:t>User journeys</w:t>
            </w:r>
          </w:p>
        </w:tc>
      </w:tr>
      <w:tr>
        <w:tc>
          <w:tcPr>
            <w:tcW w:type="dxa" w:w="2160"/>
          </w:tcPr>
          <w:p>
            <w:r>
              <w:t>AEP3 Impact 08 — PRD/Product Requirement Impact</w:t>
            </w:r>
          </w:p>
        </w:tc>
        <w:tc>
          <w:tcPr>
            <w:tcW w:type="dxa" w:w="2160"/>
          </w:tcPr>
          <w:p>
            <w:r>
              <w:t>v1.0</w:t>
            </w:r>
          </w:p>
        </w:tc>
        <w:tc>
          <w:tcPr>
            <w:tcW w:type="dxa" w:w="2160"/>
          </w:tcPr>
          <w:p>
            <w:r>
              <w:t>Complete</w:t>
            </w:r>
          </w:p>
        </w:tc>
        <w:tc>
          <w:tcPr>
            <w:tcW w:type="dxa" w:w="2160"/>
          </w:tcPr>
          <w:p>
            <w:r>
              <w:t>Product requirements</w:t>
            </w:r>
          </w:p>
        </w:tc>
      </w:tr>
      <w:tr>
        <w:tc>
          <w:tcPr>
            <w:tcW w:type="dxa" w:w="2160"/>
          </w:tcPr>
          <w:p>
            <w:r>
              <w:t>AEP3 Impact 09 — Engineering/Service Boundary Impact</w:t>
            </w:r>
          </w:p>
        </w:tc>
        <w:tc>
          <w:tcPr>
            <w:tcW w:type="dxa" w:w="2160"/>
          </w:tcPr>
          <w:p>
            <w:r>
              <w:t>v1.0</w:t>
            </w:r>
          </w:p>
        </w:tc>
        <w:tc>
          <w:tcPr>
            <w:tcW w:type="dxa" w:w="2160"/>
          </w:tcPr>
          <w:p>
            <w:r>
              <w:t>Complete</w:t>
            </w:r>
          </w:p>
        </w:tc>
        <w:tc>
          <w:tcPr>
            <w:tcW w:type="dxa" w:w="2160"/>
          </w:tcPr>
          <w:p>
            <w:r>
              <w:t>Service/domain boundaries</w:t>
            </w:r>
          </w:p>
        </w:tc>
      </w:tr>
      <w:tr>
        <w:tc>
          <w:tcPr>
            <w:tcW w:type="dxa" w:w="2160"/>
          </w:tcPr>
          <w:p>
            <w:r>
              <w:t>AEP3 Impact 10 — Traceability &amp; Acceptance/Test Impact</w:t>
            </w:r>
          </w:p>
        </w:tc>
        <w:tc>
          <w:tcPr>
            <w:tcW w:type="dxa" w:w="2160"/>
          </w:tcPr>
          <w:p>
            <w:r>
              <w:t>v1.0</w:t>
            </w:r>
          </w:p>
        </w:tc>
        <w:tc>
          <w:tcPr>
            <w:tcW w:type="dxa" w:w="2160"/>
          </w:tcPr>
          <w:p>
            <w:r>
              <w:t>Complete</w:t>
            </w:r>
          </w:p>
        </w:tc>
        <w:tc>
          <w:tcPr>
            <w:tcW w:type="dxa" w:w="2160"/>
          </w:tcPr>
          <w:p>
            <w:r>
              <w:t>Traceability gate</w:t>
            </w:r>
          </w:p>
        </w:tc>
      </w:tr>
      <w:tr>
        <w:tc>
          <w:tcPr>
            <w:tcW w:type="dxa" w:w="2160"/>
          </w:tcPr>
          <w:p>
            <w:r>
              <w:t>AEP3 OD-06 — Awarding Authority Model Decision</w:t>
            </w:r>
          </w:p>
        </w:tc>
        <w:tc>
          <w:tcPr>
            <w:tcW w:type="dxa" w:w="2160"/>
          </w:tcPr>
          <w:p>
            <w:r>
              <w:t>v1.0</w:t>
            </w:r>
          </w:p>
        </w:tc>
        <w:tc>
          <w:tcPr>
            <w:tcW w:type="dxa" w:w="2160"/>
          </w:tcPr>
          <w:p>
            <w:r>
              <w:t>Closed B</w:t>
            </w:r>
          </w:p>
        </w:tc>
        <w:tc>
          <w:tcPr>
            <w:tcW w:type="dxa" w:w="2160"/>
          </w:tcPr>
          <w:p>
            <w:r>
              <w:t>Authority model decision</w:t>
            </w:r>
          </w:p>
        </w:tc>
      </w:tr>
      <w:tr>
        <w:tc>
          <w:tcPr>
            <w:tcW w:type="dxa" w:w="2160"/>
          </w:tcPr>
          <w:p>
            <w:r>
              <w:t>AEP3 Consolidation &amp; Architecture Review</w:t>
            </w:r>
          </w:p>
        </w:tc>
        <w:tc>
          <w:tcPr>
            <w:tcW w:type="dxa" w:w="2160"/>
          </w:tcPr>
          <w:p>
            <w:r>
              <w:t>v1.0</w:t>
            </w:r>
          </w:p>
        </w:tc>
        <w:tc>
          <w:tcPr>
            <w:tcW w:type="dxa" w:w="2160"/>
          </w:tcPr>
          <w:p>
            <w:r>
              <w:t>PASS</w:t>
            </w:r>
          </w:p>
        </w:tc>
        <w:tc>
          <w:tcPr>
            <w:tcW w:type="dxa" w:w="2160"/>
          </w:tcPr>
          <w:p>
            <w:r>
              <w:t>Final semantic review</w:t>
            </w:r>
          </w:p>
        </w:tc>
      </w:tr>
    </w:tbl>
    <w:p>
      <w:pPr>
        <w:pStyle w:val="Heading1"/>
      </w:pPr>
      <w:r>
        <w:t>5. Controlled Per-AEP Synchronization Targets</w:t>
      </w:r>
    </w:p>
    <w:p>
      <w:r>
        <w:t>The following are synchronization targets at impact/requirement level. They are not permission to rewrite the entire technical baseline before AEP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Baseline / Artifact</w:t>
            </w:r>
          </w:p>
        </w:tc>
        <w:tc>
          <w:tcPr>
            <w:tcW w:type="dxa" w:w="2160"/>
          </w:tcPr>
          <w:p>
            <w:r>
              <w:t>AEP3 Action</w:t>
            </w:r>
          </w:p>
        </w:tc>
        <w:tc>
          <w:tcPr>
            <w:tcW w:type="dxa" w:w="2160"/>
          </w:tcPr>
          <w:p>
            <w:r>
              <w:t>Scope</w:t>
            </w:r>
          </w:p>
        </w:tc>
        <w:tc>
          <w:tcPr>
            <w:tcW w:type="dxa" w:w="2160"/>
          </w:tcPr>
          <w:p>
            <w:r>
              <w:t>Timing</w:t>
            </w:r>
          </w:p>
        </w:tc>
      </w:tr>
      <w:tr>
        <w:tc>
          <w:tcPr>
            <w:tcW w:type="dxa" w:w="2160"/>
          </w:tcPr>
          <w:p>
            <w:r>
              <w:t>Title Business Rules Baseline 001–100</w:t>
            </w:r>
          </w:p>
        </w:tc>
        <w:tc>
          <w:tcPr>
            <w:tcW w:type="dxa" w:w="2160"/>
          </w:tcPr>
          <w:p>
            <w:r>
              <w:t>Reference/traceability alignment; no silent rule rewrite.</w:t>
            </w:r>
          </w:p>
        </w:tc>
        <w:tc>
          <w:tcPr>
            <w:tcW w:type="dxa" w:w="2160"/>
          </w:tcPr>
          <w:p>
            <w:r>
              <w:t>Record AEP3 mapping and decisions.</w:t>
            </w:r>
          </w:p>
        </w:tc>
        <w:tc>
          <w:tcPr>
            <w:tcW w:type="dxa" w:w="2160"/>
          </w:tcPr>
          <w:p>
            <w:r>
              <w:t>AEP3 controlled sync</w:t>
            </w:r>
          </w:p>
        </w:tc>
      </w:tr>
      <w:tr>
        <w:tc>
          <w:tcPr>
            <w:tcW w:type="dxa" w:w="2160"/>
          </w:tcPr>
          <w:p>
            <w:r>
              <w:t>System Architecture</w:t>
            </w:r>
          </w:p>
        </w:tc>
        <w:tc>
          <w:tcPr>
            <w:tcW w:type="dxa" w:w="2160"/>
          </w:tcPr>
          <w:p>
            <w:r>
              <w:t>Record Title/Awarding target domain and M04/M15 boundary if per-AEP impact update is supported.</w:t>
            </w:r>
          </w:p>
        </w:tc>
        <w:tc>
          <w:tcPr>
            <w:tcW w:type="dxa" w:w="2160"/>
          </w:tcPr>
          <w:p>
            <w:r>
              <w:t>Minimal impact only; no global rewrite.</w:t>
            </w:r>
          </w:p>
        </w:tc>
        <w:tc>
          <w:tcPr>
            <w:tcW w:type="dxa" w:w="2160"/>
          </w:tcPr>
          <w:p>
            <w:r>
              <w:t>Controlled per-AEP</w:t>
            </w:r>
          </w:p>
        </w:tc>
      </w:tr>
      <w:tr>
        <w:tc>
          <w:tcPr>
            <w:tcW w:type="dxa" w:w="2160"/>
          </w:tcPr>
          <w:p>
            <w:r>
              <w:t>ERD / Entity Mapping</w:t>
            </w:r>
          </w:p>
        </w:tc>
        <w:tc>
          <w:tcPr>
            <w:tcW w:type="dxa" w:w="2160"/>
          </w:tcPr>
          <w:p>
            <w:r>
              <w:t>Register new logical Title/Awarding entities and relationships; preserve M04 Certificate.</w:t>
            </w:r>
          </w:p>
        </w:tc>
        <w:tc>
          <w:tcPr>
            <w:tcW w:type="dxa" w:w="2160"/>
          </w:tcPr>
          <w:p>
            <w:r>
              <w:t>Logical impact only.</w:t>
            </w:r>
          </w:p>
        </w:tc>
        <w:tc>
          <w:tcPr>
            <w:tcW w:type="dxa" w:w="2160"/>
          </w:tcPr>
          <w:p>
            <w:r>
              <w:t>Controlled per-AEP</w:t>
            </w:r>
          </w:p>
        </w:tc>
      </w:tr>
      <w:tr>
        <w:tc>
          <w:tcPr>
            <w:tcW w:type="dxa" w:w="2160"/>
          </w:tcPr>
          <w:p>
            <w:r>
              <w:t>API Specification</w:t>
            </w:r>
          </w:p>
        </w:tc>
        <w:tc>
          <w:tcPr>
            <w:tcW w:type="dxa" w:w="2160"/>
          </w:tcPr>
          <w:p>
            <w:r>
              <w:t>Register Title/Awarding capability boundary and M04 certificate isolation.</w:t>
            </w:r>
          </w:p>
        </w:tc>
        <w:tc>
          <w:tcPr>
            <w:tcW w:type="dxa" w:w="2160"/>
          </w:tcPr>
          <w:p>
            <w:r>
              <w:t>Semantic contract impact; no final endpoint implementation unless separately authorized.</w:t>
            </w:r>
          </w:p>
        </w:tc>
        <w:tc>
          <w:tcPr>
            <w:tcW w:type="dxa" w:w="2160"/>
          </w:tcPr>
          <w:p>
            <w:r>
              <w:t>Controlled per-AEP</w:t>
            </w:r>
          </w:p>
        </w:tc>
      </w:tr>
      <w:tr>
        <w:tc>
          <w:tcPr>
            <w:tcW w:type="dxa" w:w="2160"/>
          </w:tcPr>
          <w:p>
            <w:r>
              <w:t>RBAC / Permission Catalogue</w:t>
            </w:r>
          </w:p>
        </w:tc>
        <w:tc>
          <w:tcPr>
            <w:tcW w:type="dxa" w:w="2160"/>
          </w:tcPr>
          <w:p>
            <w:r>
              <w:t>Register capability/authority model and OD-06 B; exact IDs remain downstream.</w:t>
            </w:r>
          </w:p>
        </w:tc>
        <w:tc>
          <w:tcPr>
            <w:tcW w:type="dxa" w:w="2160"/>
          </w:tcPr>
          <w:p>
            <w:r>
              <w:t>Do not invent final permission IDs.</w:t>
            </w:r>
          </w:p>
        </w:tc>
        <w:tc>
          <w:tcPr>
            <w:tcW w:type="dxa" w:w="2160"/>
          </w:tcPr>
          <w:p>
            <w:r>
              <w:t>Controlled per-AEP</w:t>
            </w:r>
          </w:p>
        </w:tc>
      </w:tr>
      <w:tr>
        <w:tc>
          <w:tcPr>
            <w:tcW w:type="dxa" w:w="2160"/>
          </w:tcPr>
          <w:p>
            <w:r>
              <w:t>User Flow</w:t>
            </w:r>
          </w:p>
        </w:tc>
        <w:tc>
          <w:tcPr>
            <w:tcW w:type="dxa" w:w="2160"/>
          </w:tcPr>
          <w:p>
            <w:r>
              <w:t>Register canonical earning, lifecycle, appeal, presentation flows.</w:t>
            </w:r>
          </w:p>
        </w:tc>
        <w:tc>
          <w:tcPr>
            <w:tcW w:type="dxa" w:w="2160"/>
          </w:tcPr>
          <w:p>
            <w:r>
              <w:t>Semantic flow impact.</w:t>
            </w:r>
          </w:p>
        </w:tc>
        <w:tc>
          <w:tcPr>
            <w:tcW w:type="dxa" w:w="2160"/>
          </w:tcPr>
          <w:p>
            <w:r>
              <w:t>Controlled per-AEP</w:t>
            </w:r>
          </w:p>
        </w:tc>
      </w:tr>
      <w:tr>
        <w:tc>
          <w:tcPr>
            <w:tcW w:type="dxa" w:w="2160"/>
          </w:tcPr>
          <w:p>
            <w:r>
              <w:t>PRD</w:t>
            </w:r>
          </w:p>
        </w:tc>
        <w:tc>
          <w:tcPr>
            <w:tcW w:type="dxa" w:w="2160"/>
          </w:tcPr>
          <w:p>
            <w:r>
              <w:t>Register product capabilities and acceptance intent.</w:t>
            </w:r>
          </w:p>
        </w:tc>
        <w:tc>
          <w:tcPr>
            <w:tcW w:type="dxa" w:w="2160"/>
          </w:tcPr>
          <w:p>
            <w:r>
              <w:t>Capability/requirement level.</w:t>
            </w:r>
          </w:p>
        </w:tc>
        <w:tc>
          <w:tcPr>
            <w:tcW w:type="dxa" w:w="2160"/>
          </w:tcPr>
          <w:p>
            <w:r>
              <w:t>Controlled per-AEP</w:t>
            </w:r>
          </w:p>
        </w:tc>
      </w:tr>
      <w:tr>
        <w:tc>
          <w:tcPr>
            <w:tcW w:type="dxa" w:w="2160"/>
          </w:tcPr>
          <w:p>
            <w:r>
              <w:t>Engineering Guidebook / Playbook</w:t>
            </w:r>
          </w:p>
        </w:tc>
        <w:tc>
          <w:tcPr>
            <w:tcW w:type="dxa" w:w="2160"/>
          </w:tcPr>
          <w:p>
            <w:r>
              <w:t>Register service ownership, boundaries, validation, idempotency and failure-handling requirements.</w:t>
            </w:r>
          </w:p>
        </w:tc>
        <w:tc>
          <w:tcPr>
            <w:tcW w:type="dxa" w:w="2160"/>
          </w:tcPr>
          <w:p>
            <w:r>
              <w:t>Impact record; do not rewrite global playbook yet.</w:t>
            </w:r>
          </w:p>
        </w:tc>
        <w:tc>
          <w:tcPr>
            <w:tcW w:type="dxa" w:w="2160"/>
          </w:tcPr>
          <w:p>
            <w:r>
              <w:t>Controlled per-AEP</w:t>
            </w:r>
          </w:p>
        </w:tc>
      </w:tr>
      <w:tr>
        <w:tc>
          <w:tcPr>
            <w:tcW w:type="dxa" w:w="2160"/>
          </w:tcPr>
          <w:p>
            <w:r>
              <w:t>Test / BR Traceability</w:t>
            </w:r>
          </w:p>
        </w:tc>
        <w:tc>
          <w:tcPr>
            <w:tcW w:type="dxa" w:w="2160"/>
          </w:tcPr>
          <w:p>
            <w:r>
              <w:t>Register AEP3 acceptance scenarios and BR/MADCR mapping.</w:t>
            </w:r>
          </w:p>
        </w:tc>
        <w:tc>
          <w:tcPr>
            <w:tcW w:type="dxa" w:w="2160"/>
          </w:tcPr>
          <w:p>
            <w:r>
              <w:t>Semantic test coverage.</w:t>
            </w:r>
          </w:p>
        </w:tc>
        <w:tc>
          <w:tcPr>
            <w:tcW w:type="dxa" w:w="2160"/>
          </w:tcPr>
          <w:p>
            <w:r>
              <w:t>Controlled per-AEP</w:t>
            </w:r>
          </w:p>
        </w:tc>
      </w:tr>
      <w:tr>
        <w:tc>
          <w:tcPr>
            <w:tcW w:type="dxa" w:w="2160"/>
          </w:tcPr>
          <w:p>
            <w:r>
              <w:t>Project Constitution / global control docs</w:t>
            </w:r>
          </w:p>
        </w:tc>
        <w:tc>
          <w:tcPr>
            <w:tcW w:type="dxa" w:w="2160"/>
          </w:tcPr>
          <w:p>
            <w:r>
              <w:t>Do not full-sync now.</w:t>
            </w:r>
          </w:p>
        </w:tc>
        <w:tc>
          <w:tcPr>
            <w:tcW w:type="dxa" w:w="2160"/>
          </w:tcPr>
          <w:p>
            <w:r>
              <w:t>Only contain active implementation conflict if discovered.</w:t>
            </w:r>
          </w:p>
        </w:tc>
        <w:tc>
          <w:tcPr>
            <w:tcW w:type="dxa" w:w="2160"/>
          </w:tcPr>
          <w:p>
            <w:r>
              <w:t>Global AEP1–#4 pass</w:t>
            </w:r>
          </w:p>
        </w:tc>
      </w:tr>
    </w:tbl>
    <w:p>
      <w:pPr>
        <w:pStyle w:val="Heading1"/>
      </w:pPr>
      <w:r>
        <w:t>6. Deferred / Controlled Open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Item</w:t>
            </w:r>
          </w:p>
        </w:tc>
        <w:tc>
          <w:tcPr>
            <w:tcW w:type="dxa" w:w="2160"/>
          </w:tcPr>
          <w:p>
            <w:r>
              <w:t>Status</w:t>
            </w:r>
          </w:p>
        </w:tc>
        <w:tc>
          <w:tcPr>
            <w:tcW w:type="dxa" w:w="2160"/>
          </w:tcPr>
          <w:p>
            <w:r>
              <w:t>Rule</w:t>
            </w:r>
          </w:p>
        </w:tc>
      </w:tr>
      <w:tr>
        <w:tc>
          <w:tcPr>
            <w:tcW w:type="dxa" w:w="2160"/>
          </w:tcPr>
          <w:p>
            <w:r>
              <w:t>AEP3-OD-02</w:t>
            </w:r>
          </w:p>
        </w:tc>
        <w:tc>
          <w:tcPr>
            <w:tcW w:type="dxa" w:w="2160"/>
          </w:tcPr>
          <w:p>
            <w:r>
              <w:t>Authority/Scope cardinality for Agency/Organization/Partner/Platform</w:t>
            </w:r>
          </w:p>
        </w:tc>
        <w:tc>
          <w:tcPr>
            <w:tcW w:type="dxa" w:w="2160"/>
          </w:tcPr>
          <w:p>
            <w:r>
              <w:t>OPEN</w:t>
            </w:r>
          </w:p>
        </w:tc>
        <w:tc>
          <w:tcPr>
            <w:tcW w:type="dxa" w:w="2160"/>
          </w:tcPr>
          <w:p>
            <w:r>
              <w:t>Do not invent physical cardinality; resolve when authority/RLS schema is required.</w:t>
            </w:r>
          </w:p>
        </w:tc>
      </w:tr>
      <w:tr>
        <w:tc>
          <w:tcPr>
            <w:tcW w:type="dxa" w:w="2160"/>
          </w:tcPr>
          <w:p>
            <w:r>
              <w:t>AEP3-OD-03</w:t>
            </w:r>
          </w:p>
        </w:tc>
        <w:tc>
          <w:tcPr>
            <w:tcW w:type="dxa" w:w="2160"/>
          </w:tcPr>
          <w:p>
            <w:r>
              <w:t>Lifecycle/Appeal physical storage mechanism</w:t>
            </w:r>
          </w:p>
        </w:tc>
        <w:tc>
          <w:tcPr>
            <w:tcW w:type="dxa" w:w="2160"/>
          </w:tcPr>
          <w:p>
            <w:r>
              <w:t>OPEN</w:t>
            </w:r>
          </w:p>
        </w:tc>
        <w:tc>
          <w:tcPr>
            <w:tcW w:type="dxa" w:w="2160"/>
          </w:tcPr>
          <w:p>
            <w:r>
              <w:t>Storage mechanism is downstream engineering choice; historical integrity is mandatory.</w:t>
            </w:r>
          </w:p>
        </w:tc>
      </w:tr>
      <w:tr>
        <w:tc>
          <w:tcPr>
            <w:tcW w:type="dxa" w:w="2160"/>
          </w:tcPr>
          <w:p>
            <w:r>
              <w:t>AEP3-OD-04</w:t>
            </w:r>
          </w:p>
        </w:tc>
        <w:tc>
          <w:tcPr>
            <w:tcW w:type="dxa" w:w="2160"/>
          </w:tcPr>
          <w:p>
            <w:r>
              <w:t>Rule lineage cardinality</w:t>
            </w:r>
          </w:p>
        </w:tc>
        <w:tc>
          <w:tcPr>
            <w:tcW w:type="dxa" w:w="2160"/>
          </w:tcPr>
          <w:p>
            <w:r>
              <w:t>OPEN</w:t>
            </w:r>
          </w:p>
        </w:tc>
        <w:tc>
          <w:tcPr>
            <w:tcW w:type="dxa" w:w="2160"/>
          </w:tcPr>
          <w:p>
            <w:r>
              <w:t>Do not add unsupported FK/cardinality.</w:t>
            </w:r>
          </w:p>
        </w:tc>
      </w:tr>
      <w:tr>
        <w:tc>
          <w:tcPr>
            <w:tcW w:type="dxa" w:w="2160"/>
          </w:tcPr>
          <w:p>
            <w:r>
              <w:t>AEP3-OD-05</w:t>
            </w:r>
          </w:p>
        </w:tc>
        <w:tc>
          <w:tcPr>
            <w:tcW w:type="dxa" w:w="2160"/>
          </w:tcPr>
          <w:p>
            <w:r>
              <w:t>Rule temporal/effective-date semantics</w:t>
            </w:r>
          </w:p>
        </w:tc>
        <w:tc>
          <w:tcPr>
            <w:tcW w:type="dxa" w:w="2160"/>
          </w:tcPr>
          <w:p>
            <w:r>
              <w:t>OPEN</w:t>
            </w:r>
          </w:p>
        </w:tc>
        <w:tc>
          <w:tcPr>
            <w:tcW w:type="dxa" w:w="2160"/>
          </w:tcPr>
          <w:p>
            <w:r>
              <w:t>Do not introduce temporal invariants without authoritative evidence.</w:t>
            </w:r>
          </w:p>
        </w:tc>
      </w:tr>
      <w:tr>
        <w:tc>
          <w:tcPr>
            <w:tcW w:type="dxa" w:w="2160"/>
          </w:tcPr>
          <w:p>
            <w:r>
              <w:t>MADCR-049</w:t>
            </w:r>
          </w:p>
        </w:tc>
        <w:tc>
          <w:tcPr>
            <w:tcW w:type="dxa" w:w="2160"/>
          </w:tcPr>
          <w:p>
            <w:r>
              <w:t>AEP2 residual dependency</w:t>
            </w:r>
          </w:p>
        </w:tc>
        <w:tc>
          <w:tcPr>
            <w:tcW w:type="dxa" w:w="2160"/>
          </w:tcPr>
          <w:p>
            <w:r>
              <w:t>OPEN / CROSS-AEP</w:t>
            </w:r>
          </w:p>
        </w:tc>
        <w:tc>
          <w:tcPr>
            <w:tcW w:type="dxa" w:w="2160"/>
          </w:tcPr>
          <w:p>
            <w:r>
              <w:t>Do not silently close within AEP3.</w:t>
            </w:r>
          </w:p>
        </w:tc>
      </w:tr>
    </w:tbl>
    <w:p>
      <w:pPr>
        <w:pStyle w:val="Heading1"/>
      </w:pPr>
      <w:r>
        <w:t>7. Synchronization Rules</w:t>
      </w:r>
    </w:p>
    <w:p>
      <w:pPr>
        <w:pStyle w:val="ListBullet"/>
      </w:pPr>
      <w:r>
        <w:t>AEP3 artifacts are the canonical semantic source for Title/Awarding decisions made in this AEP.</w:t>
      </w:r>
    </w:p>
    <w:p>
      <w:pPr>
        <w:pStyle w:val="ListBullet"/>
      </w:pPr>
      <w:r>
        <w:t>Later AEP3 decisions supersede stale 'OPEN' wording in earlier AEP3 impact artifacts; historical files must not be silently overwritten.</w:t>
      </w:r>
    </w:p>
    <w:p>
      <w:pPr>
        <w:pStyle w:val="ListBullet"/>
      </w:pPr>
      <w:r>
        <w:t>Do not change BR 001–100 merely to make implementation easier.</w:t>
      </w:r>
    </w:p>
    <w:p>
      <w:pPr>
        <w:pStyle w:val="ListBullet"/>
      </w:pPr>
      <w:r>
        <w:t>Do not create a Title Identity Version entity.</w:t>
      </w:r>
    </w:p>
    <w:p>
      <w:pPr>
        <w:pStyle w:val="ListBullet"/>
      </w:pPr>
      <w:r>
        <w:t>Do not create a dedicated Issuer role unless a new governance decision is approved.</w:t>
      </w:r>
    </w:p>
    <w:p>
      <w:pPr>
        <w:pStyle w:val="ListBullet"/>
      </w:pPr>
      <w:r>
        <w:t>Do not convert M04 Certificate rows into M15 Award Instances.</w:t>
      </w:r>
    </w:p>
    <w:p>
      <w:pPr>
        <w:pStyle w:val="ListBullet"/>
      </w:pPr>
      <w:r>
        <w:t>Do not perform global project-wide technical baseline rewrite until AEP #1–#4 are completed and global reconciliation begins.</w:t>
      </w:r>
    </w:p>
    <w:p>
      <w:pPr>
        <w:pStyle w:val="ListBullet"/>
      </w:pPr>
      <w:r>
        <w:t>If an active technical conflict is discovered that could cause implementation error, record minimum containment as a Technical Baseline Conflict/Pending Global Synchronization rather than performing full rewrite.</w:t>
      </w:r>
    </w:p>
    <w:p>
      <w:pPr>
        <w:pStyle w:val="Heading1"/>
      </w:pPr>
      <w:r>
        <w:t>8. Required Downstream Synchronization Statements</w:t>
      </w:r>
    </w:p>
    <w:p>
      <w:pPr>
        <w:pStyle w:val="ListBullet"/>
      </w:pPr>
      <w:r>
        <w:t>Title Identity is stable; material qualification meaning is versioned through Path/Rule version boundaries.</w:t>
      </w:r>
    </w:p>
    <w:p>
      <w:pPr>
        <w:pStyle w:val="ListBullet"/>
      </w:pPr>
      <w:r>
        <w:t>Award Instance is the historical recognition record and retains Title/Path/Rule provenance.</w:t>
      </w:r>
    </w:p>
    <w:p>
      <w:pPr>
        <w:pStyle w:val="ListBullet"/>
      </w:pPr>
      <w:r>
        <w:t>Awarding Authority is role + capability permission + Authority/Scope Binding.</w:t>
      </w:r>
    </w:p>
    <w:p>
      <w:pPr>
        <w:pStyle w:val="ListBullet"/>
      </w:pPr>
      <w:r>
        <w:t>Learning Certificate/Credential remains distinct from Award Instance.</w:t>
      </w:r>
    </w:p>
    <w:p>
      <w:pPr>
        <w:pStyle w:val="ListBullet"/>
      </w:pPr>
      <w:r>
        <w:t>Learning/Partner outcomes are evidence sources, not automatic Award authority.</w:t>
      </w:r>
    </w:p>
    <w:p>
      <w:pPr>
        <w:pStyle w:val="ListBullet"/>
      </w:pPr>
      <w:r>
        <w:t>Presentation is separate from Award ownership and lifecycle.</w:t>
      </w:r>
    </w:p>
    <w:p>
      <w:pPr>
        <w:pStyle w:val="ListBullet"/>
      </w:pPr>
      <w:r>
        <w:t>Historical integrity is mandatory across configuration/version/lifecycle changes.</w:t>
      </w:r>
    </w:p>
    <w:p>
      <w:pPr>
        <w:pStyle w:val="Heading1"/>
      </w:pPr>
      <w:r>
        <w:t>9. Global Synchronization Gate</w:t>
      </w:r>
    </w:p>
    <w:p>
      <w:r>
        <w:rPr>
          <w:b/>
        </w:rPr>
        <w:t>GLOBAL SYNCHRONIZATION: NOT AUTHORIZED YET</w:t>
      </w:r>
    </w:p>
    <w:p>
      <w:r>
        <w:t>The locked execution order is AEP #1 → AEP #2 → AEP #3 → AEP #4. The synchronization lock explicitly requires global project-wide technical/governance synchronization only after AEP #1–#4 are complete. AEP #3 may therefore synchronize its domain/downstream impacts in a controlled manner, but it must not trigger the final project-wide rewrite.</w:t>
      </w:r>
    </w:p>
    <w:p>
      <w:pPr>
        <w:pStyle w:val="Heading1"/>
      </w:pPr>
      <w:r>
        <w:t>10. Final AEP3 Gate</w:t>
      </w:r>
    </w:p>
    <w:p>
      <w:r>
        <w:rPr>
          <w:b/>
        </w:rPr>
        <w:t>AEP #3 — READY FOR CONTROLLED PER-AEP SYNCHRONIZATION</w:t>
      </w:r>
    </w:p>
    <w:p>
      <w:r>
        <w:t>No new Open Decision is required at this stage. The package is ready to be used as the canonical synchronization instruction set. The next project action is to apply the controlled AEP3 impact to the designated downstream artifacts, without global technical baseline rewrite. After that, the locked execution sequence proceeds to AEP #4.</w:t>
      </w:r>
    </w:p>
    <w:p>
      <w:pPr>
        <w:pStyle w:val="Heading1"/>
      </w:pPr>
      <w:r>
        <w:t>11. Artifact Control</w:t>
      </w:r>
    </w:p>
    <w:p>
      <w:r>
        <w:t>Artifact ID: AEP3-Final-Synchronization-Package</w:t>
      </w:r>
    </w:p>
    <w:p>
      <w:r>
        <w:t>AEP: #3 — Title / Awarding Business Rules</w:t>
      </w:r>
    </w:p>
    <w:p>
      <w:r>
        <w:t>Status: READY FOR CONTROLLED PER-AEP SYNCHRONIZATION</w:t>
      </w:r>
    </w:p>
    <w:p>
      <w:r>
        <w:t>Global synchronization: DEFERRED</w:t>
      </w:r>
    </w:p>
    <w:p>
      <w:r>
        <w:t>Implementation authorization: NOT GRANTED</w:t>
      </w:r>
    </w:p>
    <w:p>
      <w:r>
        <w:t>Next step: Controlled AEP3 downstream synchronization, then AEP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