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RUMAHAGEN</w:t>
      </w:r>
    </w:p>
    <w:p>
      <w:pPr>
        <w:jc w:val="center"/>
      </w:pPr>
      <w:r>
        <w:rPr>
          <w:b/>
          <w:sz w:val="36"/>
        </w:rPr>
        <w:t>AEP #3 — Title / Awarding Business Rules</w:t>
      </w:r>
    </w:p>
    <w:p>
      <w:pPr>
        <w:jc w:val="center"/>
      </w:pPr>
      <w:r>
        <w:rPr>
          <w:b/>
          <w:sz w:val="26"/>
        </w:rPr>
        <w:t>Impact 01 — Governance Reconciliation &amp; Current Architecture Impact Analysis</w:t>
      </w:r>
    </w:p>
    <w:p>
      <w:pPr>
        <w:jc w:val="center"/>
      </w:pPr>
      <w:r>
        <w:rPr>
          <w:i/>
        </w:rPr>
        <w:t>Version 1.0 | Status: COMPLETED — AEP #3 ACTIVE</w:t>
      </w:r>
    </w:p>
    <w:p>
      <w:pPr>
        <w:pStyle w:val="Heading1"/>
      </w:pPr>
      <w:r>
        <w:t>1. Purpose</w:t>
      </w:r>
    </w:p>
    <w:p>
      <w:r>
        <w:t>Dokumen ini merekam langkah governance reconciliation dan current-architecture impact analysis awal untuk AEP #3. Tujuannya menetapkan boundary yang sudah governing, mengidentifikasi gap arsitektur saat ini terhadap Title Business Rules 001–100, dan menyiapkan controlled transition menuju target Title/Awarding domain architecture. Dokumen ini tidak mengotorisasi perubahan ERD, schema, API, RBAC/RLS, migration, atau implementasi.</w:t>
      </w:r>
    </w:p>
    <w:p>
      <w:pPr>
        <w:pStyle w:val="Heading1"/>
      </w:pPr>
      <w:r>
        <w:t>2. Source Basis</w:t>
      </w:r>
    </w:p>
    <w:p>
      <w:pPr>
        <w:pStyle w:val="ListBullet"/>
      </w:pPr>
      <w:r>
        <w:t>AEP_Title_Business_Rules_Baseline_v1.0 — normative Title/Awarding architecture direction derived from the locked Title Business Rules.</w:t>
      </w:r>
    </w:p>
    <w:p>
      <w:pPr>
        <w:pStyle w:val="ListBullet"/>
      </w:pPr>
      <w:r>
        <w:t>ADR-037 / MADCR-037 — Versioned Awarding Paths; governing provenance/version boundary.</w:t>
      </w:r>
    </w:p>
    <w:p>
      <w:pPr>
        <w:pStyle w:val="ListBullet"/>
      </w:pPr>
      <w:r>
        <w:t>MADCR-041 — Versioned Awarding Rules; governing rule-version lifecycle boundary.</w:t>
      </w:r>
    </w:p>
    <w:p>
      <w:pPr>
        <w:pStyle w:val="ListBullet"/>
      </w:pPr>
      <w:r>
        <w:t>ARB-05 / MADCR-046 — Certificate/Credential remains separate from Title/Award Instance.</w:t>
      </w:r>
    </w:p>
    <w:p>
      <w:pPr>
        <w:pStyle w:val="ListBullet"/>
      </w:pPr>
      <w:r>
        <w:t>AEP2_Final_Synchronization_Record_v1.0 — Learning-to-Awarding cross-domain invariants and MADCR-049 residual.</w:t>
      </w:r>
    </w:p>
    <w:p>
      <w:pPr>
        <w:pStyle w:val="ListBullet"/>
      </w:pPr>
      <w:r>
        <w:t>Canonical Knowledge / downstream reconciliation artifacts — evidence-first rule and restriction against inventing physical deltas from unverified ERD/API/RBAC content.</w:t>
      </w:r>
    </w:p>
    <w:p>
      <w:pPr>
        <w:pStyle w:val="Heading1"/>
      </w:pPr>
      <w:r>
        <w:t>3. Governance Gate Result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Gate</w:t>
            </w:r>
          </w:p>
        </w:tc>
        <w:tc>
          <w:tcPr>
            <w:tcW w:type="dxa" w:w="3312"/>
          </w:tcPr>
          <w:p>
            <w:r>
              <w:t>Status</w:t>
            </w:r>
          </w:p>
        </w:tc>
        <w:tc>
          <w:tcPr>
            <w:tcW w:type="dxa" w:w="3312"/>
          </w:tcPr>
          <w:p>
            <w:r>
              <w:t>Decision</w:t>
            </w:r>
          </w:p>
        </w:tc>
      </w:tr>
      <w:tr>
        <w:tc>
          <w:tcPr>
            <w:tcW w:type="dxa" w:w="3312"/>
          </w:tcPr>
          <w:p>
            <w:r>
              <w:t>Business Rules 001–100</w:t>
            </w:r>
          </w:p>
        </w:tc>
        <w:tc>
          <w:tcPr>
            <w:tcW w:type="dxa" w:w="3312"/>
          </w:tcPr>
          <w:p>
            <w:r>
              <w:t>PASS</w:t>
            </w:r>
          </w:p>
        </w:tc>
        <w:tc>
          <w:tcPr>
            <w:tcW w:type="dxa" w:w="3312"/>
          </w:tcPr>
          <w:p>
            <w:r>
              <w:t>Use as normative Title Business Rules baseline.</w:t>
            </w:r>
          </w:p>
        </w:tc>
      </w:tr>
      <w:tr>
        <w:tc>
          <w:tcPr>
            <w:tcW w:type="dxa" w:w="3312"/>
          </w:tcPr>
          <w:p>
            <w:r>
              <w:t>MADCR-036</w:t>
            </w:r>
          </w:p>
        </w:tc>
        <w:tc>
          <w:tcPr>
            <w:tcW w:type="dxa" w:w="3312"/>
          </w:tcPr>
          <w:p>
            <w:r>
              <w:t>GOVERNING</w:t>
            </w:r>
          </w:p>
        </w:tc>
        <w:tc>
          <w:tcPr>
            <w:tcW w:type="dxa" w:w="3312"/>
          </w:tcPr>
          <w:p>
            <w:r>
              <w:t>Title Definition ≠ Award Instance.</w:t>
            </w:r>
          </w:p>
        </w:tc>
      </w:tr>
      <w:tr>
        <w:tc>
          <w:tcPr>
            <w:tcW w:type="dxa" w:w="3312"/>
          </w:tcPr>
          <w:p>
            <w:r>
              <w:t>MADCR-037</w:t>
            </w:r>
          </w:p>
        </w:tc>
        <w:tc>
          <w:tcPr>
            <w:tcW w:type="dxa" w:w="3312"/>
          </w:tcPr>
          <w:p>
            <w:r>
              <w:t>GOVERNING</w:t>
            </w:r>
          </w:p>
        </w:tc>
        <w:tc>
          <w:tcPr>
            <w:tcW w:type="dxa" w:w="3312"/>
          </w:tcPr>
          <w:p>
            <w:r>
              <w:t>Title Identity → Path Version → Rule Version → Award Instance.</w:t>
            </w:r>
          </w:p>
        </w:tc>
      </w:tr>
      <w:tr>
        <w:tc>
          <w:tcPr>
            <w:tcW w:type="dxa" w:w="3312"/>
          </w:tcPr>
          <w:p>
            <w:r>
              <w:t>MADCR-041</w:t>
            </w:r>
          </w:p>
        </w:tc>
        <w:tc>
          <w:tcPr>
            <w:tcW w:type="dxa" w:w="3312"/>
          </w:tcPr>
          <w:p>
            <w:r>
              <w:t>GOVERNING</w:t>
            </w:r>
          </w:p>
        </w:tc>
        <w:tc>
          <w:tcPr>
            <w:tcW w:type="dxa" w:w="3312"/>
          </w:tcPr>
          <w:p>
            <w:r>
              <w:t>Rule Version is an independent version boundary.</w:t>
            </w:r>
          </w:p>
        </w:tc>
      </w:tr>
      <w:tr>
        <w:tc>
          <w:tcPr>
            <w:tcW w:type="dxa" w:w="3312"/>
          </w:tcPr>
          <w:p>
            <w:r>
              <w:t>MADCR-046</w:t>
            </w:r>
          </w:p>
        </w:tc>
        <w:tc>
          <w:tcPr>
            <w:tcW w:type="dxa" w:w="3312"/>
          </w:tcPr>
          <w:p>
            <w:r>
              <w:t>GOVERNING</w:t>
            </w:r>
          </w:p>
        </w:tc>
        <w:tc>
          <w:tcPr>
            <w:tcW w:type="dxa" w:w="3312"/>
          </w:tcPr>
          <w:p>
            <w:r>
              <w:t>M04 Certificate/Credential ≠ M15 Title/Award Instance.</w:t>
            </w:r>
          </w:p>
        </w:tc>
      </w:tr>
      <w:tr>
        <w:tc>
          <w:tcPr>
            <w:tcW w:type="dxa" w:w="3312"/>
          </w:tcPr>
          <w:p>
            <w:r>
              <w:t>AEP #2 dependency</w:t>
            </w:r>
          </w:p>
        </w:tc>
        <w:tc>
          <w:tcPr>
            <w:tcW w:type="dxa" w:w="3312"/>
          </w:tcPr>
          <w:p>
            <w:r>
              <w:t>PASS WITH RESIDUAL</w:t>
            </w:r>
          </w:p>
        </w:tc>
        <w:tc>
          <w:tcPr>
            <w:tcW w:type="dxa" w:w="3312"/>
          </w:tcPr>
          <w:p>
            <w:r>
              <w:t>Learning contributes evidence/outcome; MADCR-049 remains OPEN / RE-EVALUATION.</w:t>
            </w:r>
          </w:p>
        </w:tc>
      </w:tr>
      <w:tr>
        <w:tc>
          <w:tcPr>
            <w:tcW w:type="dxa" w:w="3312"/>
          </w:tcPr>
          <w:p>
            <w:r>
              <w:t>Implementation authorization</w:t>
            </w:r>
          </w:p>
        </w:tc>
        <w:tc>
          <w:tcPr>
            <w:tcW w:type="dxa" w:w="3312"/>
          </w:tcPr>
          <w:p>
            <w:r>
              <w:t>NO</w:t>
            </w:r>
          </w:p>
        </w:tc>
        <w:tc>
          <w:tcPr>
            <w:tcW w:type="dxa" w:w="3312"/>
          </w:tcPr>
          <w:p>
            <w:r>
              <w:t>Physical downstream implementation remains deferred.</w:t>
            </w:r>
          </w:p>
        </w:tc>
      </w:tr>
    </w:tbl>
    <w:p>
      <w:pPr>
        <w:pStyle w:val="Heading1"/>
      </w:pPr>
      <w:r>
        <w:t>4. Non-Reopening Rules</w:t>
      </w:r>
    </w:p>
    <w:p>
      <w:pPr>
        <w:pStyle w:val="ListBullet"/>
      </w:pPr>
      <w:r>
        <w:t>Do not reopen MADCR-036/037/041/046 merely because the current downstream baseline lacks a dedicated Title/Awarding model.</w:t>
      </w:r>
    </w:p>
    <w:p>
      <w:pPr>
        <w:pStyle w:val="ListBullet"/>
      </w:pPr>
      <w:r>
        <w:t>Do not reinterpret the existing M04 certificates concept as Award Instance storage.</w:t>
      </w:r>
    </w:p>
    <w:p>
      <w:pPr>
        <w:pStyle w:val="ListBullet"/>
      </w:pPr>
      <w:r>
        <w:t>Do not invent current-version concurrency, Rule lineage cardinality, or Rule effective-date semantics where the governing decisions deliberately leave them open.</w:t>
      </w:r>
    </w:p>
    <w:p>
      <w:pPr>
        <w:pStyle w:val="ListBullet"/>
      </w:pPr>
      <w:r>
        <w:t>Do not silently close MADCR-049.</w:t>
      </w:r>
    </w:p>
    <w:p>
      <w:pPr>
        <w:pStyle w:val="ListBullet"/>
      </w:pPr>
      <w:r>
        <w:t>Do not perform global technical-document synchronization during AEP #3; global synchronization remains deferred until AEP #1–#4 are finalized.</w:t>
      </w:r>
    </w:p>
    <w:p>
      <w:pPr>
        <w:pStyle w:val="Heading1"/>
      </w:pPr>
      <w:r>
        <w:t>5. Current Architecture Impact Findings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Area</w:t>
            </w:r>
          </w:p>
        </w:tc>
        <w:tc>
          <w:tcPr>
            <w:tcW w:type="dxa" w:w="2484"/>
          </w:tcPr>
          <w:p>
            <w:r>
              <w:t>Current-State Classification</w:t>
            </w:r>
          </w:p>
        </w:tc>
        <w:tc>
          <w:tcPr>
            <w:tcW w:type="dxa" w:w="2484"/>
          </w:tcPr>
          <w:p>
            <w:r>
              <w:t>Impact</w:t>
            </w:r>
          </w:p>
        </w:tc>
        <w:tc>
          <w:tcPr>
            <w:tcW w:type="dxa" w:w="2484"/>
          </w:tcPr>
          <w:p>
            <w:r>
              <w:t>Controlled Direction</w:t>
            </w:r>
          </w:p>
        </w:tc>
      </w:tr>
      <w:tr>
        <w:tc>
          <w:tcPr>
            <w:tcW w:type="dxa" w:w="2484"/>
          </w:tcPr>
          <w:p>
            <w:r>
              <w:t>Title Definition</w:t>
            </w:r>
          </w:p>
        </w:tc>
        <w:tc>
          <w:tcPr>
            <w:tcW w:type="dxa" w:w="2484"/>
          </w:tcPr>
          <w:p>
            <w:r>
              <w:t>MISSING / NEW CAPABILITY</w:t>
            </w:r>
          </w:p>
        </w:tc>
        <w:tc>
          <w:tcPr>
            <w:tcW w:type="dxa" w:w="2484"/>
          </w:tcPr>
          <w:p>
            <w:r>
              <w:t>CRITICAL</w:t>
            </w:r>
          </w:p>
        </w:tc>
        <w:tc>
          <w:tcPr>
            <w:tcW w:type="dxa" w:w="2484"/>
          </w:tcPr>
          <w:p>
            <w:r>
              <w:t>Introduce dedicated Title Definition capability.</w:t>
            </w:r>
          </w:p>
        </w:tc>
      </w:tr>
      <w:tr>
        <w:tc>
          <w:tcPr>
            <w:tcW w:type="dxa" w:w="2484"/>
          </w:tcPr>
          <w:p>
            <w:r>
              <w:t>Awarding Path</w:t>
            </w:r>
          </w:p>
        </w:tc>
        <w:tc>
          <w:tcPr>
            <w:tcW w:type="dxa" w:w="2484"/>
          </w:tcPr>
          <w:p>
            <w:r>
              <w:t>MISSING / NEW CAPABILITY</w:t>
            </w:r>
          </w:p>
        </w:tc>
        <w:tc>
          <w:tcPr>
            <w:tcW w:type="dxa" w:w="2484"/>
          </w:tcPr>
          <w:p>
            <w:r>
              <w:t>CRITICAL</w:t>
            </w:r>
          </w:p>
        </w:tc>
        <w:tc>
          <w:tcPr>
            <w:tcW w:type="dxa" w:w="2484"/>
          </w:tcPr>
          <w:p>
            <w:r>
              <w:t>Model qualifying routes independently from Title identity.</w:t>
            </w:r>
          </w:p>
        </w:tc>
      </w:tr>
      <w:tr>
        <w:tc>
          <w:tcPr>
            <w:tcW w:type="dxa" w:w="2484"/>
          </w:tcPr>
          <w:p>
            <w:r>
              <w:t>Awarding Path Version</w:t>
            </w:r>
          </w:p>
        </w:tc>
        <w:tc>
          <w:tcPr>
            <w:tcW w:type="dxa" w:w="2484"/>
          </w:tcPr>
          <w:p>
            <w:r>
              <w:t>MISSING / NEW CAPABILITY</w:t>
            </w:r>
          </w:p>
        </w:tc>
        <w:tc>
          <w:tcPr>
            <w:tcW w:type="dxa" w:w="2484"/>
          </w:tcPr>
          <w:p>
            <w:r>
              <w:t>CRITICAL</w:t>
            </w:r>
          </w:p>
        </w:tc>
        <w:tc>
          <w:tcPr>
            <w:tcW w:type="dxa" w:w="2484"/>
          </w:tcPr>
          <w:p>
            <w:r>
              <w:t>Preserve governing Path Version semantics.</w:t>
            </w:r>
          </w:p>
        </w:tc>
      </w:tr>
      <w:tr>
        <w:tc>
          <w:tcPr>
            <w:tcW w:type="dxa" w:w="2484"/>
          </w:tcPr>
          <w:p>
            <w:r>
              <w:t>Awarding Rule Version</w:t>
            </w:r>
          </w:p>
        </w:tc>
        <w:tc>
          <w:tcPr>
            <w:tcW w:type="dxa" w:w="2484"/>
          </w:tcPr>
          <w:p>
            <w:r>
              <w:t>MISSING / NEW CAPABILITY</w:t>
            </w:r>
          </w:p>
        </w:tc>
        <w:tc>
          <w:tcPr>
            <w:tcW w:type="dxa" w:w="2484"/>
          </w:tcPr>
          <w:p>
            <w:r>
              <w:t>CRITICAL</w:t>
            </w:r>
          </w:p>
        </w:tc>
        <w:tc>
          <w:tcPr>
            <w:tcW w:type="dxa" w:w="2484"/>
          </w:tcPr>
          <w:p>
            <w:r>
              <w:t>Preserve independent Rule Version semantics.</w:t>
            </w:r>
          </w:p>
        </w:tc>
      </w:tr>
      <w:tr>
        <w:tc>
          <w:tcPr>
            <w:tcW w:type="dxa" w:w="2484"/>
          </w:tcPr>
          <w:p>
            <w:r>
              <w:t>Qualification / Evaluation</w:t>
            </w:r>
          </w:p>
        </w:tc>
        <w:tc>
          <w:tcPr>
            <w:tcW w:type="dxa" w:w="2484"/>
          </w:tcPr>
          <w:p>
            <w:r>
              <w:t>MISSING / NEW CAPABILITY</w:t>
            </w:r>
          </w:p>
        </w:tc>
        <w:tc>
          <w:tcPr>
            <w:tcW w:type="dxa" w:w="2484"/>
          </w:tcPr>
          <w:p>
            <w:r>
              <w:t>CRITICAL</w:t>
            </w:r>
          </w:p>
        </w:tc>
        <w:tc>
          <w:tcPr>
            <w:tcW w:type="dxa" w:w="2484"/>
          </w:tcPr>
          <w:p>
            <w:r>
              <w:t>Introduce explicit evaluation capability for prerequisites, evidence, assessment and conditions.</w:t>
            </w:r>
          </w:p>
        </w:tc>
      </w:tr>
      <w:tr>
        <w:tc>
          <w:tcPr>
            <w:tcW w:type="dxa" w:w="2484"/>
          </w:tcPr>
          <w:p>
            <w:r>
              <w:t>Award Instance</w:t>
            </w:r>
          </w:p>
        </w:tc>
        <w:tc>
          <w:tcPr>
            <w:tcW w:type="dxa" w:w="2484"/>
          </w:tcPr>
          <w:p>
            <w:r>
              <w:t>MISSING / NEW CAPABILITY</w:t>
            </w:r>
          </w:p>
        </w:tc>
        <w:tc>
          <w:tcPr>
            <w:tcW w:type="dxa" w:w="2484"/>
          </w:tcPr>
          <w:p>
            <w:r>
              <w:t>CRITICAL</w:t>
            </w:r>
          </w:p>
        </w:tc>
        <w:tc>
          <w:tcPr>
            <w:tcW w:type="dxa" w:w="2484"/>
          </w:tcPr>
          <w:p>
            <w:r>
              <w:t>Create separate historical recognition/achievement concept.</w:t>
            </w:r>
          </w:p>
        </w:tc>
      </w:tr>
      <w:tr>
        <w:tc>
          <w:tcPr>
            <w:tcW w:type="dxa" w:w="2484"/>
          </w:tcPr>
          <w:p>
            <w:r>
              <w:t>Award Lifecycle</w:t>
            </w:r>
          </w:p>
        </w:tc>
        <w:tc>
          <w:tcPr>
            <w:tcW w:type="dxa" w:w="2484"/>
          </w:tcPr>
          <w:p>
            <w:r>
              <w:t>MISSING / NEW CAPABILITY</w:t>
            </w:r>
          </w:p>
        </w:tc>
        <w:tc>
          <w:tcPr>
            <w:tcW w:type="dxa" w:w="2484"/>
          </w:tcPr>
          <w:p>
            <w:r>
              <w:t>HIGH</w:t>
            </w:r>
          </w:p>
        </w:tc>
        <w:tc>
          <w:tcPr>
            <w:tcW w:type="dxa" w:w="2484"/>
          </w:tcPr>
          <w:p>
            <w:r>
              <w:t>Separate Active/Expired/Revoked/Appeal/Restored/Historical semantics.</w:t>
            </w:r>
          </w:p>
        </w:tc>
      </w:tr>
      <w:tr>
        <w:tc>
          <w:tcPr>
            <w:tcW w:type="dxa" w:w="2484"/>
          </w:tcPr>
          <w:p>
            <w:r>
              <w:t>Appeal / Stay</w:t>
            </w:r>
          </w:p>
        </w:tc>
        <w:tc>
          <w:tcPr>
            <w:tcW w:type="dxa" w:w="2484"/>
          </w:tcPr>
          <w:p>
            <w:r>
              <w:t>MISSING / NEW CAPABILITY</w:t>
            </w:r>
          </w:p>
        </w:tc>
        <w:tc>
          <w:tcPr>
            <w:tcW w:type="dxa" w:w="2484"/>
          </w:tcPr>
          <w:p>
            <w:r>
              <w:t>HIGH</w:t>
            </w:r>
          </w:p>
        </w:tc>
        <w:tc>
          <w:tcPr>
            <w:tcW w:type="dxa" w:w="2484"/>
          </w:tcPr>
          <w:p>
            <w:r>
              <w:t>Introduce explicit controlled appeal workflow.</w:t>
            </w:r>
          </w:p>
        </w:tc>
      </w:tr>
      <w:tr>
        <w:tc>
          <w:tcPr>
            <w:tcW w:type="dxa" w:w="2484"/>
          </w:tcPr>
          <w:p>
            <w:r>
              <w:t>Presentation</w:t>
            </w:r>
          </w:p>
        </w:tc>
        <w:tc>
          <w:tcPr>
            <w:tcW w:type="dxa" w:w="2484"/>
          </w:tcPr>
          <w:p>
            <w:r>
              <w:t>EVOLVE</w:t>
            </w:r>
          </w:p>
        </w:tc>
        <w:tc>
          <w:tcPr>
            <w:tcW w:type="dxa" w:w="2484"/>
          </w:tcPr>
          <w:p>
            <w:r>
              <w:t>HIGH</w:t>
            </w:r>
          </w:p>
        </w:tc>
        <w:tc>
          <w:tcPr>
            <w:tcW w:type="dxa" w:w="2484"/>
          </w:tcPr>
          <w:p>
            <w:r>
              <w:t>Separate Primary/Featured presentation preference from Award ownership.</w:t>
            </w:r>
          </w:p>
        </w:tc>
      </w:tr>
      <w:tr>
        <w:tc>
          <w:tcPr>
            <w:tcW w:type="dxa" w:w="2484"/>
          </w:tcPr>
          <w:p>
            <w:r>
              <w:t>Learning Integration</w:t>
            </w:r>
          </w:p>
        </w:tc>
        <w:tc>
          <w:tcPr>
            <w:tcW w:type="dxa" w:w="2484"/>
          </w:tcPr>
          <w:p>
            <w:r>
              <w:t>EVOLVE</w:t>
            </w:r>
          </w:p>
        </w:tc>
        <w:tc>
          <w:tcPr>
            <w:tcW w:type="dxa" w:w="2484"/>
          </w:tcPr>
          <w:p>
            <w:r>
              <w:t>HIGH</w:t>
            </w:r>
          </w:p>
        </w:tc>
        <w:tc>
          <w:tcPr>
            <w:tcW w:type="dxa" w:w="2484"/>
          </w:tcPr>
          <w:p>
            <w:r>
              <w:t>Learning supplies qualifying evidence/outcomes; Awarding remains authority.</w:t>
            </w:r>
          </w:p>
        </w:tc>
      </w:tr>
      <w:tr>
        <w:tc>
          <w:tcPr>
            <w:tcW w:type="dxa" w:w="2484"/>
          </w:tcPr>
          <w:p>
            <w:r>
              <w:t>Certificate</w:t>
            </w:r>
          </w:p>
        </w:tc>
        <w:tc>
          <w:tcPr>
            <w:tcW w:type="dxa" w:w="2484"/>
          </w:tcPr>
          <w:p>
            <w:r>
              <w:t>KEEP + ISOLATE</w:t>
            </w:r>
          </w:p>
        </w:tc>
        <w:tc>
          <w:tcPr>
            <w:tcW w:type="dxa" w:w="2484"/>
          </w:tcPr>
          <w:p>
            <w:r>
              <w:t>HIGH</w:t>
            </w:r>
          </w:p>
        </w:tc>
        <w:tc>
          <w:tcPr>
            <w:tcW w:type="dxa" w:w="2484"/>
          </w:tcPr>
          <w:p>
            <w:r>
              <w:t>Preserve M04 certificate concept; do not repurpose as Award Instance.</w:t>
            </w:r>
          </w:p>
        </w:tc>
      </w:tr>
      <w:tr>
        <w:tc>
          <w:tcPr>
            <w:tcW w:type="dxa" w:w="2484"/>
          </w:tcPr>
          <w:p>
            <w:r>
              <w:t>Authority / Scope</w:t>
            </w:r>
          </w:p>
        </w:tc>
        <w:tc>
          <w:tcPr>
            <w:tcW w:type="dxa" w:w="2484"/>
          </w:tcPr>
          <w:p>
            <w:r>
              <w:t>EVOLVE / GOVERNANCE-DEPENDENT</w:t>
            </w:r>
          </w:p>
        </w:tc>
        <w:tc>
          <w:tcPr>
            <w:tcW w:type="dxa" w:w="2484"/>
          </w:tcPr>
          <w:p>
            <w:r>
              <w:t>HIGH</w:t>
            </w:r>
          </w:p>
        </w:tc>
        <w:tc>
          <w:tcPr>
            <w:tcW w:type="dxa" w:w="2484"/>
          </w:tcPr>
          <w:p>
            <w:r>
              <w:t>Model authority/scope without inventing unresolved Agency/Organization semantics.</w:t>
            </w:r>
          </w:p>
        </w:tc>
      </w:tr>
      <w:tr>
        <w:tc>
          <w:tcPr>
            <w:tcW w:type="dxa" w:w="2484"/>
          </w:tcPr>
          <w:p>
            <w:r>
              <w:t>RBAC</w:t>
            </w:r>
          </w:p>
        </w:tc>
        <w:tc>
          <w:tcPr>
            <w:tcW w:type="dxa" w:w="2484"/>
          </w:tcPr>
          <w:p>
            <w:r>
              <w:t>EVOLVE</w:t>
            </w:r>
          </w:p>
        </w:tc>
        <w:tc>
          <w:tcPr>
            <w:tcW w:type="dxa" w:w="2484"/>
          </w:tcPr>
          <w:p>
            <w:r>
              <w:t>HIGH</w:t>
            </w:r>
          </w:p>
        </w:tc>
        <w:tc>
          <w:tcPr>
            <w:tcW w:type="dxa" w:w="2484"/>
          </w:tcPr>
          <w:p>
            <w:r>
              <w:t>Add Title/Awarding capability permissions downstream.</w:t>
            </w:r>
          </w:p>
        </w:tc>
      </w:tr>
      <w:tr>
        <w:tc>
          <w:tcPr>
            <w:tcW w:type="dxa" w:w="2484"/>
          </w:tcPr>
          <w:p>
            <w:r>
              <w:t>Audit / Provenance</w:t>
            </w:r>
          </w:p>
        </w:tc>
        <w:tc>
          <w:tcPr>
            <w:tcW w:type="dxa" w:w="2484"/>
          </w:tcPr>
          <w:p>
            <w:r>
              <w:t>EVOLVE / NEW CAPABILITY</w:t>
            </w:r>
          </w:p>
        </w:tc>
        <w:tc>
          <w:tcPr>
            <w:tcW w:type="dxa" w:w="2484"/>
          </w:tcPr>
          <w:p>
            <w:r>
              <w:t>HIGH</w:t>
            </w:r>
          </w:p>
        </w:tc>
        <w:tc>
          <w:tcPr>
            <w:tcW w:type="dxa" w:w="2484"/>
          </w:tcPr>
          <w:p>
            <w:r>
              <w:t>Preserve historical explanation and decision lineage.</w:t>
            </w:r>
          </w:p>
        </w:tc>
      </w:tr>
    </w:tbl>
    <w:p>
      <w:pPr>
        <w:pStyle w:val="Heading1"/>
      </w:pPr>
      <w:r>
        <w:t>6. Canonical AEP #3 Conceptual Flow</w:t>
      </w:r>
    </w:p>
    <w:p>
      <w:pPr>
        <w:jc w:val="center"/>
      </w:pPr>
      <w:r>
        <w:t>TITLE DEFINITION</w:t>
      </w:r>
    </w:p>
    <w:p>
      <w:pPr>
        <w:jc w:val="center"/>
      </w:pPr>
      <w:r>
        <w:t xml:space="preserve">      ↓</w:t>
      </w:r>
    </w:p>
    <w:p>
      <w:pPr>
        <w:jc w:val="center"/>
      </w:pPr>
      <w:r>
        <w:t>AWARDING PATH</w:t>
      </w:r>
    </w:p>
    <w:p>
      <w:pPr>
        <w:jc w:val="center"/>
      </w:pPr>
      <w:r>
        <w:t xml:space="preserve">      ↓</w:t>
      </w:r>
    </w:p>
    <w:p>
      <w:pPr>
        <w:jc w:val="center"/>
      </w:pPr>
      <w:r>
        <w:t>AWARDING PATH VERSION</w:t>
      </w:r>
    </w:p>
    <w:p>
      <w:pPr>
        <w:jc w:val="center"/>
      </w:pPr>
      <w:r>
        <w:t xml:space="preserve">      ↓</w:t>
      </w:r>
    </w:p>
    <w:p>
      <w:pPr>
        <w:jc w:val="center"/>
      </w:pPr>
      <w:r>
        <w:t>AWARDING RULE VERSION</w:t>
      </w:r>
    </w:p>
    <w:p>
      <w:pPr>
        <w:jc w:val="center"/>
      </w:pPr>
      <w:r>
        <w:t xml:space="preserve">      ↓</w:t>
      </w:r>
    </w:p>
    <w:p>
      <w:pPr>
        <w:jc w:val="center"/>
      </w:pPr>
      <w:r>
        <w:t>QUALIFICATION / EVALUATION</w:t>
      </w:r>
    </w:p>
    <w:p>
      <w:pPr>
        <w:jc w:val="center"/>
      </w:pPr>
      <w:r>
        <w:t xml:space="preserve">      ↓</w:t>
      </w:r>
    </w:p>
    <w:p>
      <w:pPr>
        <w:jc w:val="center"/>
      </w:pPr>
      <w:r>
        <w:t>AWARD INSTANCE</w:t>
      </w:r>
    </w:p>
    <w:p>
      <w:pPr>
        <w:jc w:val="center"/>
      </w:pPr>
      <w:r>
        <w:t xml:space="preserve">      ↓</w:t>
      </w:r>
    </w:p>
    <w:p>
      <w:pPr>
        <w:jc w:val="center"/>
      </w:pPr>
      <w:r>
        <w:t>LIFECYCLE + PROVENANCE + PRESENTATION</w:t>
      </w:r>
    </w:p>
    <w:p>
      <w:pPr>
        <w:pStyle w:val="Heading1"/>
      </w:pPr>
      <w:r>
        <w:t>7. Learning-to-Awarding Boundary</w:t>
      </w:r>
    </w:p>
    <w:p>
      <w:r>
        <w:t>AEP #2 establishes that Learning is not the authority for Title eligibility. Learning completion, assessment, Learning Points, credentials, partner results, or other learning outcomes may become evidence consumed by an Awarding Path/Rule, but the Awarding domain remains responsible for qualification and Award Instance semantics.</w:t>
      </w:r>
    </w:p>
    <w:p>
      <w:r>
        <w:t>Canonical conceptual boundary: Learning → Evidence/Outcome → Awarding Path Version → Awarding Rule Version → Qualification → Award Instance.</w:t>
      </w:r>
    </w:p>
    <w:p>
      <w:pPr>
        <w:pStyle w:val="Heading1"/>
      </w:pPr>
      <w:r>
        <w:t>8. Critical Invariants Carried Into AEP #3</w:t>
      </w:r>
    </w:p>
    <w:p>
      <w:pPr>
        <w:pStyle w:val="ListBullet"/>
      </w:pPr>
      <w:r>
        <w:t>Title Definition and Award Instance are distinct concepts.</w:t>
      </w:r>
    </w:p>
    <w:p>
      <w:pPr>
        <w:pStyle w:val="ListBullet"/>
      </w:pPr>
      <w:r>
        <w:t>Awarding Path Version and Awarding Rule Version are distinct version boundaries.</w:t>
      </w:r>
    </w:p>
    <w:p>
      <w:pPr>
        <w:pStyle w:val="ListBullet"/>
      </w:pPr>
      <w:r>
        <w:t>Used historical versions are semantically immutable as governed.</w:t>
      </w:r>
    </w:p>
    <w:p>
      <w:pPr>
        <w:pStyle w:val="ListBullet"/>
      </w:pPr>
      <w:r>
        <w:t>Award Instance preserves historical Path Version and Rule Version provenance.</w:t>
      </w:r>
    </w:p>
    <w:p>
      <w:pPr>
        <w:pStyle w:val="ListBullet"/>
      </w:pPr>
      <w:r>
        <w:t>Prerequisite state is not automatically the same as Award Instance state.</w:t>
      </w:r>
    </w:p>
    <w:p>
      <w:pPr>
        <w:pStyle w:val="ListBullet"/>
      </w:pPr>
      <w:r>
        <w:t>Reinstatement restores the existing Award Instance rather than creating a new Award.</w:t>
      </w:r>
    </w:p>
    <w:p>
      <w:pPr>
        <w:pStyle w:val="ListBullet"/>
      </w:pPr>
      <w:r>
        <w:t>Presentation state is not ownership state.</w:t>
      </w:r>
    </w:p>
    <w:p>
      <w:pPr>
        <w:pStyle w:val="ListBullet"/>
      </w:pPr>
      <w:r>
        <w:t>Learning Points are an optional qualification mechanism, not a universal Title prerequisite.</w:t>
      </w:r>
    </w:p>
    <w:p>
      <w:pPr>
        <w:pStyle w:val="ListBullet"/>
      </w:pPr>
      <w:r>
        <w:t>M04 Certificate/Credential remains distinct from M15 Title/Award Instance.</w:t>
      </w:r>
    </w:p>
    <w:p>
      <w:pPr>
        <w:pStyle w:val="Heading1"/>
      </w:pPr>
      <w:r>
        <w:t>9. Evidence Limitation</w:t>
      </w:r>
    </w:p>
    <w:p>
      <w:r>
        <w:t>The current File Library evidence pass confirms the Title AEP baseline and governing MADCR/ADR artifacts. Exact table-by-table ERD, endpoint-by-endpoint API, and permission-ID reconciliation must not be asserted unless the corresponding current baseline files are independently retrieved and inspected. Therefore this artifact is a semantic impact analysis, not a physical migration delta.</w:t>
      </w:r>
    </w:p>
    <w:p>
      <w:pPr>
        <w:pStyle w:val="Heading1"/>
      </w:pPr>
      <w:r>
        <w:t>10. Gate Decision</w:t>
      </w:r>
    </w:p>
    <w:p>
      <w:r>
        <w:rPr>
          <w:b/>
        </w:rPr>
        <w:t>AEP #3 Current Architecture Impact Analysis — PASS WITH CONTROLLED DELTAS</w:t>
      </w:r>
    </w:p>
    <w:p>
      <w:r>
        <w:t>The governance and semantic impact gate is passed. The next step is to define and review the Target Title/Awarding Domain Architecture before producing physical ERD/schema/API/RBAC deltas.</w:t>
      </w:r>
    </w:p>
    <w:p>
      <w:pPr>
        <w:pStyle w:val="Heading1"/>
      </w:pPr>
      <w:r>
        <w:t>11. Next Step</w:t>
      </w:r>
    </w:p>
    <w:p>
      <w:r>
        <w:t>AEP3-Impact-02: Target Title/Awarding Domain Architecture. This next artifact will translate the locked business-rule themes and governing MADCR boundaries into a conceptual target domain model, component responsibilities, state boundaries, provenance model, configuration boundaries, and cross-domain contracts. It will remain implementation-neutral.</w:t>
      </w:r>
    </w:p>
    <w:p>
      <w:pPr>
        <w:pStyle w:val="Heading1"/>
      </w:pPr>
      <w:r>
        <w:t>12. Artifact Control</w:t>
      </w:r>
    </w:p>
    <w:p>
      <w:r>
        <w:t>Artifact ID: AEP3-Impact-01</w:t>
      </w:r>
    </w:p>
    <w:p>
      <w:r>
        <w:t>Status: COMPLETED</w:t>
      </w:r>
    </w:p>
    <w:p>
      <w:r>
        <w:t>AEP: #3 — Title / Awarding Business Rules</w:t>
      </w:r>
    </w:p>
    <w:p>
      <w:r>
        <w:t>Implementation authorization: NOT GRANTED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