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RUMAHAGEN</w:t>
      </w:r>
    </w:p>
    <w:p>
      <w:pPr>
        <w:jc w:val="center"/>
      </w:pPr>
      <w:r>
        <w:rPr>
          <w:b/>
          <w:sz w:val="36"/>
        </w:rPr>
        <w:t>AEP #3 — Title / Awarding Business Rules</w:t>
      </w:r>
    </w:p>
    <w:p>
      <w:pPr>
        <w:jc w:val="center"/>
      </w:pPr>
      <w:r>
        <w:rPr>
          <w:b/>
          <w:sz w:val="26"/>
        </w:rPr>
        <w:t>Impact 02 — Target Title/Awarding Domain Architecture</w:t>
      </w:r>
    </w:p>
    <w:p>
      <w:pPr>
        <w:jc w:val="center"/>
      </w:pPr>
      <w:r>
        <w:rPr>
          <w:i/>
        </w:rPr>
        <w:t>Version 1.0 | Status: TARGET ARCHITECTURE DEFINED — IMPLEMENTATION NOT AUTHORIZED</w:t>
      </w:r>
    </w:p>
    <w:p>
      <w:pPr>
        <w:pStyle w:val="Heading1"/>
      </w:pPr>
      <w:r>
        <w:t>1. Objective</w:t>
      </w:r>
    </w:p>
    <w:p>
      <w:r>
        <w:t>Mendefinisikan target conceptual architecture untuk Title/Awarding yang mampu menampung Business Rules 001–100 dan tetap konsisten dengan MADCR-036, MADCR-037, MADCR-041, dan MADCR-046. Target ini implementation-neutral: tidak menetapkan nama tabel, FK, endpoint, permission ID, migration, event-sourcing, atau vendor-specific mechanism.</w:t>
      </w:r>
    </w:p>
    <w:p>
      <w:pPr>
        <w:pStyle w:val="Heading1"/>
      </w:pPr>
      <w:r>
        <w:t>2. Architectural Target</w:t>
      </w:r>
    </w:p>
    <w:p>
      <w:pPr>
        <w:jc w:val="center"/>
      </w:pPr>
      <w:r>
        <w:t>TITLE DEFINITION</w:t>
      </w:r>
    </w:p>
    <w:p>
      <w:pPr>
        <w:jc w:val="center"/>
      </w:pPr>
      <w:r>
        <w:t xml:space="preserve">      │</w:t>
      </w:r>
    </w:p>
    <w:p>
      <w:pPr>
        <w:jc w:val="center"/>
      </w:pPr>
      <w:r>
        <w:t xml:space="preserve">      ├── AUTHORITY / SCOPE</w:t>
      </w:r>
    </w:p>
    <w:p>
      <w:pPr>
        <w:jc w:val="center"/>
      </w:pPr>
      <w:r>
        <w:t xml:space="preserve">      │</w:t>
      </w:r>
    </w:p>
    <w:p>
      <w:pPr>
        <w:jc w:val="center"/>
      </w:pPr>
      <w:r>
        <w:t xml:space="preserve">      ├── POLICY / CONFIGURATION</w:t>
      </w:r>
    </w:p>
    <w:p>
      <w:pPr>
        <w:jc w:val="center"/>
      </w:pPr>
      <w:r>
        <w:t xml:space="preserve">      │</w:t>
      </w:r>
    </w:p>
    <w:p>
      <w:pPr>
        <w:jc w:val="center"/>
      </w:pPr>
      <w:r>
        <w:t xml:space="preserve">      └── AWARDING PATH</w:t>
      </w:r>
    </w:p>
    <w:p>
      <w:pPr>
        <w:jc w:val="center"/>
      </w:pPr>
      <w:r>
        <w:t xml:space="preserve">              │</w:t>
      </w:r>
    </w:p>
    <w:p>
      <w:pPr>
        <w:jc w:val="center"/>
      </w:pPr>
      <w:r>
        <w:t xml:space="preserve">              └── PATH VERSION</w:t>
      </w:r>
    </w:p>
    <w:p>
      <w:pPr>
        <w:jc w:val="center"/>
      </w:pPr>
      <w:r>
        <w:t xml:space="preserve">                       │</w:t>
      </w:r>
    </w:p>
    <w:p>
      <w:pPr>
        <w:jc w:val="center"/>
      </w:pPr>
      <w:r>
        <w:t xml:space="preserve">                       └── RULE VERSION</w:t>
      </w:r>
    </w:p>
    <w:p>
      <w:pPr>
        <w:jc w:val="center"/>
      </w:pPr>
      <w:r>
        <w:t xml:space="preserve">                                │</w:t>
      </w:r>
    </w:p>
    <w:p>
      <w:pPr>
        <w:jc w:val="center"/>
      </w:pPr>
      <w:r>
        <w:t xml:space="preserve">                                ▼</w:t>
      </w:r>
    </w:p>
    <w:p>
      <w:pPr>
        <w:jc w:val="center"/>
      </w:pPr>
      <w:r>
        <w:t xml:space="preserve">                       QUALIFICATION / EVALUATION</w:t>
      </w:r>
    </w:p>
    <w:p>
      <w:pPr>
        <w:jc w:val="center"/>
      </w:pPr>
      <w:r>
        <w:t xml:space="preserve">                                │</w:t>
      </w:r>
    </w:p>
    <w:p>
      <w:pPr>
        <w:jc w:val="center"/>
      </w:pPr>
      <w:r>
        <w:t xml:space="preserve">                                ▼</w:t>
      </w:r>
    </w:p>
    <w:p>
      <w:pPr>
        <w:jc w:val="center"/>
      </w:pPr>
      <w:r>
        <w:t xml:space="preserve">                          AWARD INSTANCE</w:t>
      </w:r>
    </w:p>
    <w:p>
      <w:pPr>
        <w:jc w:val="center"/>
      </w:pPr>
      <w:r>
        <w:t xml:space="preserve">                           │       │</w:t>
      </w:r>
    </w:p>
    <w:p>
      <w:pPr>
        <w:jc w:val="center"/>
      </w:pPr>
      <w:r>
        <w:t xml:space="preserve">                           │       └── PROVENANCE / AUDIT</w:t>
      </w:r>
    </w:p>
    <w:p>
      <w:pPr>
        <w:jc w:val="center"/>
      </w:pPr>
      <w:r>
        <w:t xml:space="preserve">                           │</w:t>
      </w:r>
    </w:p>
    <w:p>
      <w:pPr>
        <w:jc w:val="center"/>
      </w:pPr>
      <w:r>
        <w:t xml:space="preserve">                           └── LIFECYCLE / APPEAL / RESTORATION</w:t>
      </w:r>
    </w:p>
    <w:p>
      <w:pPr>
        <w:jc w:val="center"/>
      </w:pPr>
      <w:r>
        <w:t xml:space="preserve">                                    │</w:t>
      </w:r>
    </w:p>
    <w:p>
      <w:pPr>
        <w:jc w:val="center"/>
      </w:pPr>
      <w:r>
        <w:t xml:space="preserve">                                    ▼</w:t>
      </w:r>
    </w:p>
    <w:p>
      <w:pPr>
        <w:jc w:val="center"/>
      </w:pPr>
      <w:r>
        <w:t xml:space="preserve">                              PRESENTATION</w:t>
      </w:r>
    </w:p>
    <w:p>
      <w:pPr>
        <w:pStyle w:val="Heading1"/>
      </w:pPr>
      <w:r>
        <w:t>3. Target Components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Component</w:t>
            </w:r>
          </w:p>
        </w:tc>
        <w:tc>
          <w:tcPr>
            <w:tcW w:type="dxa" w:w="2484"/>
          </w:tcPr>
          <w:p>
            <w:r>
              <w:t>Primary Responsibility</w:t>
            </w:r>
          </w:p>
        </w:tc>
        <w:tc>
          <w:tcPr>
            <w:tcW w:type="dxa" w:w="2484"/>
          </w:tcPr>
          <w:p>
            <w:r>
              <w:t>Key Boundaries</w:t>
            </w:r>
          </w:p>
        </w:tc>
        <w:tc>
          <w:tcPr>
            <w:tcW w:type="dxa" w:w="2484"/>
          </w:tcPr>
          <w:p>
            <w:r>
              <w:t>Business-Rule Drivers</w:t>
            </w:r>
          </w:p>
        </w:tc>
      </w:tr>
      <w:tr>
        <w:tc>
          <w:tcPr>
            <w:tcW w:type="dxa" w:w="2484"/>
          </w:tcPr>
          <w:p>
            <w:r>
              <w:t>Title Definition</w:t>
            </w:r>
          </w:p>
        </w:tc>
        <w:tc>
          <w:tcPr>
            <w:tcW w:type="dxa" w:w="2484"/>
          </w:tcPr>
          <w:p>
            <w:r>
              <w:t>Stable Title identity, canonical/display information, category, policy references and recognition definition.</w:t>
            </w:r>
          </w:p>
        </w:tc>
        <w:tc>
          <w:tcPr>
            <w:tcW w:type="dxa" w:w="2484"/>
          </w:tcPr>
          <w:p>
            <w:r>
              <w:t>Not an Award Instance; rename does not create a new Award.</w:t>
            </w:r>
          </w:p>
        </w:tc>
        <w:tc>
          <w:tcPr>
            <w:tcW w:type="dxa" w:w="2484"/>
          </w:tcPr>
          <w:p>
            <w:r>
              <w:t>001–005, 011–013, 021–024, 031–034, 055–070</w:t>
            </w:r>
          </w:p>
        </w:tc>
      </w:tr>
      <w:tr>
        <w:tc>
          <w:tcPr>
            <w:tcW w:type="dxa" w:w="2484"/>
          </w:tcPr>
          <w:p>
            <w:r>
              <w:t>Authority / Scope</w:t>
            </w:r>
          </w:p>
        </w:tc>
        <w:tc>
          <w:tcPr>
            <w:tcW w:type="dxa" w:w="2484"/>
          </w:tcPr>
          <w:p>
            <w:r>
              <w:t>Determines who may define/issue/manage Title within governed authority and scope.</w:t>
            </w:r>
          </w:p>
        </w:tc>
        <w:tc>
          <w:tcPr>
            <w:tcW w:type="dxa" w:w="2484"/>
          </w:tcPr>
          <w:p>
            <w:r>
              <w:t>Authority is not merely a static Title attribute; exact Agency/Organization semantics remain governance-dependent.</w:t>
            </w:r>
          </w:p>
        </w:tc>
        <w:tc>
          <w:tcPr>
            <w:tcW w:type="dxa" w:w="2484"/>
          </w:tcPr>
          <w:p>
            <w:r>
              <w:t>002, 018, 025, 053–054, 066, 071–074, 079</w:t>
            </w:r>
          </w:p>
        </w:tc>
      </w:tr>
      <w:tr>
        <w:tc>
          <w:tcPr>
            <w:tcW w:type="dxa" w:w="2484"/>
          </w:tcPr>
          <w:p>
            <w:r>
              <w:t>Awarding Path</w:t>
            </w:r>
          </w:p>
        </w:tc>
        <w:tc>
          <w:tcPr>
            <w:tcW w:type="dxa" w:w="2484"/>
          </w:tcPr>
          <w:p>
            <w:r>
              <w:t>Represents a qualifying route toward a Title.</w:t>
            </w:r>
          </w:p>
        </w:tc>
        <w:tc>
          <w:tcPr>
            <w:tcW w:type="dxa" w:w="2484"/>
          </w:tcPr>
          <w:p>
            <w:r>
              <w:t>Independent from Title identity versioning; one Title may have multiple paths.</w:t>
            </w:r>
          </w:p>
        </w:tc>
        <w:tc>
          <w:tcPr>
            <w:tcW w:type="dxa" w:w="2484"/>
          </w:tcPr>
          <w:p>
            <w:r>
              <w:t>014, 021, 037–039, 042–050, 052</w:t>
            </w:r>
          </w:p>
        </w:tc>
      </w:tr>
      <w:tr>
        <w:tc>
          <w:tcPr>
            <w:tcW w:type="dxa" w:w="2484"/>
          </w:tcPr>
          <w:p>
            <w:r>
              <w:t>Awarding Path Version</w:t>
            </w:r>
          </w:p>
        </w:tc>
        <w:tc>
          <w:tcPr>
            <w:tcW w:type="dxa" w:w="2484"/>
          </w:tcPr>
          <w:p>
            <w:r>
              <w:t>Immutable historical route version once used; retains applicable path semantics.</w:t>
            </w:r>
          </w:p>
        </w:tc>
        <w:tc>
          <w:tcPr>
            <w:tcW w:type="dxa" w:w="2484"/>
          </w:tcPr>
          <w:p>
            <w:r>
              <w:t>Material Path Change → new version; superseded versions are not reactivated.</w:t>
            </w:r>
          </w:p>
        </w:tc>
        <w:tc>
          <w:tcPr>
            <w:tcW w:type="dxa" w:w="2484"/>
          </w:tcPr>
          <w:p>
            <w:r>
              <w:t>037–039, 051–052; MADCR-037</w:t>
            </w:r>
          </w:p>
        </w:tc>
      </w:tr>
      <w:tr>
        <w:tc>
          <w:tcPr>
            <w:tcW w:type="dxa" w:w="2484"/>
          </w:tcPr>
          <w:p>
            <w:r>
              <w:t>Awarding Rule Version</w:t>
            </w:r>
          </w:p>
        </w:tc>
        <w:tc>
          <w:tcPr>
            <w:tcW w:type="dxa" w:w="2484"/>
          </w:tcPr>
          <w:p>
            <w:r>
              <w:t>Exact business-rule version used to evaluate qualification.</w:t>
            </w:r>
          </w:p>
        </w:tc>
        <w:tc>
          <w:tcPr>
            <w:tcW w:type="dxa" w:w="2484"/>
          </w:tcPr>
          <w:p>
            <w:r>
              <w:t>Independent from Path Version; used versions immutable and historically retained.</w:t>
            </w:r>
          </w:p>
        </w:tc>
        <w:tc>
          <w:tcPr>
            <w:tcW w:type="dxa" w:w="2484"/>
          </w:tcPr>
          <w:p>
            <w:r>
              <w:t>021, 037–040, 051–052; MADCR-041</w:t>
            </w:r>
          </w:p>
        </w:tc>
      </w:tr>
      <w:tr>
        <w:tc>
          <w:tcPr>
            <w:tcW w:type="dxa" w:w="2484"/>
          </w:tcPr>
          <w:p>
            <w:r>
              <w:t>Qualification / Evaluation</w:t>
            </w:r>
          </w:p>
        </w:tc>
        <w:tc>
          <w:tcPr>
            <w:tcW w:type="dxa" w:w="2484"/>
          </w:tcPr>
          <w:p>
            <w:r>
              <w:t>Evaluates prerequisites, evidence, assessment and conditions against a Path/Rule Version.</w:t>
            </w:r>
          </w:p>
        </w:tc>
        <w:tc>
          <w:tcPr>
            <w:tcW w:type="dxa" w:w="2484"/>
          </w:tcPr>
          <w:p>
            <w:r>
              <w:t>Qualification is not itself an Award Instance.</w:t>
            </w:r>
          </w:p>
        </w:tc>
        <w:tc>
          <w:tcPr>
            <w:tcW w:type="dxa" w:w="2484"/>
          </w:tcPr>
          <w:p>
            <w:r>
              <w:t>014–020, 036–050</w:t>
            </w:r>
          </w:p>
        </w:tc>
      </w:tr>
      <w:tr>
        <w:tc>
          <w:tcPr>
            <w:tcW w:type="dxa" w:w="2484"/>
          </w:tcPr>
          <w:p>
            <w:r>
              <w:t>Evidence / Outcome</w:t>
            </w:r>
          </w:p>
        </w:tc>
        <w:tc>
          <w:tcPr>
            <w:tcW w:type="dxa" w:w="2484"/>
          </w:tcPr>
          <w:p>
            <w:r>
              <w:t>Carries qualifying evidence from Learning, Assessment, Partner or other approved sources.</w:t>
            </w:r>
          </w:p>
        </w:tc>
        <w:tc>
          <w:tcPr>
            <w:tcW w:type="dxa" w:w="2484"/>
          </w:tcPr>
          <w:p>
            <w:r>
              <w:t>Source provenance must be preserved; evidence does not become Title authority.</w:t>
            </w:r>
          </w:p>
        </w:tc>
        <w:tc>
          <w:tcPr>
            <w:tcW w:type="dxa" w:w="2484"/>
          </w:tcPr>
          <w:p>
            <w:r>
              <w:t>016–020, 041–047</w:t>
            </w:r>
          </w:p>
        </w:tc>
      </w:tr>
      <w:tr>
        <w:tc>
          <w:tcPr>
            <w:tcW w:type="dxa" w:w="2484"/>
          </w:tcPr>
          <w:p>
            <w:r>
              <w:t>Award Instance</w:t>
            </w:r>
          </w:p>
        </w:tc>
        <w:tc>
          <w:tcPr>
            <w:tcW w:type="dxa" w:w="2484"/>
          </w:tcPr>
          <w:p>
            <w:r>
              <w:t>Historical recognition result owned by a subject/agent.</w:t>
            </w:r>
          </w:p>
        </w:tc>
        <w:tc>
          <w:tcPr>
            <w:tcW w:type="dxa" w:w="2484"/>
          </w:tcPr>
          <w:p>
            <w:r>
              <w:t>Separate from Title Definition and Certificate/Credential; binds historical Path/Rule context.</w:t>
            </w:r>
          </w:p>
        </w:tc>
        <w:tc>
          <w:tcPr>
            <w:tcW w:type="dxa" w:w="2484"/>
          </w:tcPr>
          <w:p>
            <w:r>
              <w:t>019, 021, 023–028, 035–040, 051, 075–078, 089–095</w:t>
            </w:r>
          </w:p>
        </w:tc>
      </w:tr>
      <w:tr>
        <w:tc>
          <w:tcPr>
            <w:tcW w:type="dxa" w:w="2484"/>
          </w:tcPr>
          <w:p>
            <w:r>
              <w:t>Award Lifecycle</w:t>
            </w:r>
          </w:p>
        </w:tc>
        <w:tc>
          <w:tcPr>
            <w:tcW w:type="dxa" w:w="2484"/>
          </w:tcPr>
          <w:p>
            <w:r>
              <w:t>Represents Active, Expired, Revoked, Restored, Historical and applicable appeal/stay behavior.</w:t>
            </w:r>
          </w:p>
        </w:tc>
        <w:tc>
          <w:tcPr>
            <w:tcW w:type="dxa" w:w="2484"/>
          </w:tcPr>
          <w:p>
            <w:r>
              <w:t>Must not be collapsed to a single is_active flag.</w:t>
            </w:r>
          </w:p>
        </w:tc>
        <w:tc>
          <w:tcPr>
            <w:tcW w:type="dxa" w:w="2484"/>
          </w:tcPr>
          <w:p>
            <w:r>
              <w:t>004–005, 026–028, 078, 083–092</w:t>
            </w:r>
          </w:p>
        </w:tc>
      </w:tr>
      <w:tr>
        <w:tc>
          <w:tcPr>
            <w:tcW w:type="dxa" w:w="2484"/>
          </w:tcPr>
          <w:p>
            <w:r>
              <w:t>Appeal / Stay</w:t>
            </w:r>
          </w:p>
        </w:tc>
        <w:tc>
          <w:tcPr>
            <w:tcW w:type="dxa" w:w="2484"/>
          </w:tcPr>
          <w:p>
            <w:r>
              <w:t>Controlled review of revocation and effective behavior during appeal.</w:t>
            </w:r>
          </w:p>
        </w:tc>
        <w:tc>
          <w:tcPr>
            <w:tcW w:type="dxa" w:w="2484"/>
          </w:tcPr>
          <w:p>
            <w:r>
              <w:t>Deadline source is revocation timestamp; restoration returns existing Award Instance.</w:t>
            </w:r>
          </w:p>
        </w:tc>
        <w:tc>
          <w:tcPr>
            <w:tcW w:type="dxa" w:w="2484"/>
          </w:tcPr>
          <w:p>
            <w:r>
              <w:t>081–090</w:t>
            </w:r>
          </w:p>
        </w:tc>
      </w:tr>
      <w:tr>
        <w:tc>
          <w:tcPr>
            <w:tcW w:type="dxa" w:w="2484"/>
          </w:tcPr>
          <w:p>
            <w:r>
              <w:t>Presentation</w:t>
            </w:r>
          </w:p>
        </w:tc>
        <w:tc>
          <w:tcPr>
            <w:tcW w:type="dxa" w:w="2484"/>
          </w:tcPr>
          <w:p>
            <w:r>
              <w:t>Primary/Featured presentation preferences and ordering.</w:t>
            </w:r>
          </w:p>
        </w:tc>
        <w:tc>
          <w:tcPr>
            <w:tcW w:type="dxa" w:w="2484"/>
          </w:tcPr>
          <w:p>
            <w:r>
              <w:t>Presentation does not alter ownership/provenance; Primary 0–1, Featured 0–3.</w:t>
            </w:r>
          </w:p>
        </w:tc>
        <w:tc>
          <w:tcPr>
            <w:tcW w:type="dxa" w:w="2484"/>
          </w:tcPr>
          <w:p>
            <w:r>
              <w:t>003, 005–010, 027–030, 094–100</w:t>
            </w:r>
          </w:p>
        </w:tc>
      </w:tr>
      <w:tr>
        <w:tc>
          <w:tcPr>
            <w:tcW w:type="dxa" w:w="2484"/>
          </w:tcPr>
          <w:p>
            <w:r>
              <w:t>Provenance / Audit</w:t>
            </w:r>
          </w:p>
        </w:tc>
        <w:tc>
          <w:tcPr>
            <w:tcW w:type="dxa" w:w="2484"/>
          </w:tcPr>
          <w:p>
            <w:r>
              <w:t>Explains why and under which versions an Award exists and how lifecycle changes occurred.</w:t>
            </w:r>
          </w:p>
        </w:tc>
        <w:tc>
          <w:tcPr>
            <w:tcW w:type="dxa" w:w="2484"/>
          </w:tcPr>
          <w:p>
            <w:r>
              <w:t>Auditability does not require event sourcing.</w:t>
            </w:r>
          </w:p>
        </w:tc>
        <w:tc>
          <w:tcPr>
            <w:tcW w:type="dxa" w:w="2484"/>
          </w:tcPr>
          <w:p>
            <w:r>
              <w:t>023–024, 036–038, 051, 075–077, 089–090</w:t>
            </w:r>
          </w:p>
        </w:tc>
      </w:tr>
      <w:tr>
        <w:tc>
          <w:tcPr>
            <w:tcW w:type="dxa" w:w="2484"/>
          </w:tcPr>
          <w:p>
            <w:r>
              <w:t>Configuration / Policy</w:t>
            </w:r>
          </w:p>
        </w:tc>
        <w:tc>
          <w:tcPr>
            <w:tcW w:type="dxa" w:w="2484"/>
          </w:tcPr>
          <w:p>
            <w:r>
              <w:t>Stores governed configurable Title/Awarding behaviors.</w:t>
            </w:r>
          </w:p>
        </w:tc>
        <w:tc>
          <w:tcPr>
            <w:tcW w:type="dxa" w:w="2484"/>
          </w:tcPr>
          <w:p>
            <w:r>
              <w:t>Configuration changes must not rewrite historical Award outcomes.</w:t>
            </w:r>
          </w:p>
        </w:tc>
        <w:tc>
          <w:tcPr>
            <w:tcW w:type="dxa" w:w="2484"/>
          </w:tcPr>
          <w:p>
            <w:r>
              <w:t>004, 011, 014–016, 033–034, 037, 039, 041–043, 047, 052, 085–087, 091–094</w:t>
            </w:r>
          </w:p>
        </w:tc>
      </w:tr>
    </w:tbl>
    <w:p>
      <w:pPr>
        <w:pStyle w:val="Heading1"/>
      </w:pPr>
      <w:r>
        <w:t>4. Canonical Provenance Model</w:t>
      </w:r>
    </w:p>
    <w:p>
      <w:r>
        <w:t>The governing provenance chain is retained as a semantic invariant:</w:t>
      </w:r>
    </w:p>
    <w:p>
      <w:pPr>
        <w:jc w:val="center"/>
      </w:pPr>
      <w:r>
        <w:t>Title Identity</w:t>
      </w:r>
    </w:p>
    <w:p>
      <w:pPr>
        <w:jc w:val="center"/>
      </w:pPr>
      <w:r>
        <w:t xml:space="preserve">     ↓</w:t>
      </w:r>
    </w:p>
    <w:p>
      <w:pPr>
        <w:jc w:val="center"/>
      </w:pPr>
      <w:r>
        <w:t>Awarding Path Version</w:t>
      </w:r>
    </w:p>
    <w:p>
      <w:pPr>
        <w:jc w:val="center"/>
      </w:pPr>
      <w:r>
        <w:t xml:space="preserve">     ↓</w:t>
      </w:r>
    </w:p>
    <w:p>
      <w:pPr>
        <w:jc w:val="center"/>
      </w:pPr>
      <w:r>
        <w:t>Awarding Rule Version</w:t>
      </w:r>
    </w:p>
    <w:p>
      <w:pPr>
        <w:jc w:val="center"/>
      </w:pPr>
      <w:r>
        <w:t xml:space="preserve">     ↓</w:t>
      </w:r>
    </w:p>
    <w:p>
      <w:pPr>
        <w:jc w:val="center"/>
      </w:pPr>
      <w:r>
        <w:t>Qualification Result</w:t>
      </w:r>
    </w:p>
    <w:p>
      <w:pPr>
        <w:jc w:val="center"/>
      </w:pPr>
      <w:r>
        <w:t xml:space="preserve">     ↓</w:t>
      </w:r>
    </w:p>
    <w:p>
      <w:pPr>
        <w:jc w:val="center"/>
      </w:pPr>
      <w:r>
        <w:t>Award Instance</w:t>
      </w:r>
    </w:p>
    <w:p>
      <w:r>
        <w:t>Where multiple qualifying paths are satisfied, the architecture must preserve explainability without automatically creating duplicate Title ownership records. The Award Instance may retain a primary qualifying path plus additional qualifying-path provenance where the governing rules require it.</w:t>
      </w:r>
    </w:p>
    <w:p>
      <w:pPr>
        <w:pStyle w:val="Heading1"/>
      </w:pPr>
      <w:r>
        <w:t>5. Qualification Architecture</w:t>
      </w:r>
    </w:p>
    <w:p>
      <w:pPr>
        <w:jc w:val="center"/>
      </w:pPr>
      <w:r>
        <w:t>Event / Claim / Application</w:t>
      </w:r>
    </w:p>
    <w:p>
      <w:pPr>
        <w:jc w:val="center"/>
      </w:pPr>
      <w:r>
        <w:t xml:space="preserve">        ↓</w:t>
      </w:r>
    </w:p>
    <w:p>
      <w:pPr>
        <w:jc w:val="center"/>
      </w:pPr>
      <w:r>
        <w:t>Prerequisites</w:t>
      </w:r>
    </w:p>
    <w:p>
      <w:pPr>
        <w:jc w:val="center"/>
      </w:pPr>
      <w:r>
        <w:t xml:space="preserve">        ↓</w:t>
      </w:r>
    </w:p>
    <w:p>
      <w:pPr>
        <w:jc w:val="center"/>
      </w:pPr>
      <w:r>
        <w:t>Evidence</w:t>
      </w:r>
    </w:p>
    <w:p>
      <w:pPr>
        <w:jc w:val="center"/>
      </w:pPr>
      <w:r>
        <w:t xml:space="preserve">        ↓</w:t>
      </w:r>
    </w:p>
    <w:p>
      <w:pPr>
        <w:jc w:val="center"/>
      </w:pPr>
      <w:r>
        <w:t>Assessment</w:t>
      </w:r>
    </w:p>
    <w:p>
      <w:pPr>
        <w:jc w:val="center"/>
      </w:pPr>
      <w:r>
        <w:t xml:space="preserve">        ↓</w:t>
      </w:r>
    </w:p>
    <w:p>
      <w:pPr>
        <w:jc w:val="center"/>
      </w:pPr>
      <w:r>
        <w:t>Condition Evaluation</w:t>
      </w:r>
    </w:p>
    <w:p>
      <w:pPr>
        <w:jc w:val="center"/>
      </w:pPr>
      <w:r>
        <w:t xml:space="preserve">        ↓</w:t>
      </w:r>
    </w:p>
    <w:p>
      <w:pPr>
        <w:jc w:val="center"/>
      </w:pPr>
      <w:r>
        <w:t>Qualification Result</w:t>
      </w:r>
    </w:p>
    <w:p>
      <w:pPr>
        <w:jc w:val="center"/>
      </w:pPr>
      <w:r>
        <w:t xml:space="preserve">        ↓</w:t>
      </w:r>
    </w:p>
    <w:p>
      <w:pPr>
        <w:jc w:val="center"/>
      </w:pPr>
      <w:r>
        <w:t>Award Instance</w:t>
      </w:r>
    </w:p>
    <w:p>
      <w:r>
        <w:t>The evaluation capability must support AND, OR, grouped conditions, configurable prerequisites, completion-only paths, Learning Point conditions, assessment conditions, evidence policy, and multiple qualifying paths. Rule 049 explicitly excludes NOT conditions from the Awarding Condition model.</w:t>
      </w:r>
    </w:p>
    <w:p>
      <w:pPr>
        <w:pStyle w:val="Heading1"/>
      </w:pPr>
      <w:r>
        <w:t>6. Lifecycle Boundary</w:t>
      </w:r>
    </w:p>
    <w:p>
      <w:r>
        <w:t>Award lifecycle is modeled independently from prerequisite lifecycle. A prerequisite that later becomes Expired or Revoked does not automatically invalidate an earned Award unless the Title's configured validity policy explicitly creates such coupling.</w:t>
      </w:r>
    </w:p>
    <w:p>
      <w:pPr>
        <w:pStyle w:val="ListBullet"/>
      </w:pPr>
      <w:r>
        <w:t>Active — currently valid/recognized according to Title policy.</w:t>
      </w:r>
    </w:p>
    <w:p>
      <w:pPr>
        <w:pStyle w:val="ListBullet"/>
      </w:pPr>
      <w:r>
        <w:t>Expired — validity ended without implying deletion of historical ownership.</w:t>
      </w:r>
    </w:p>
    <w:p>
      <w:pPr>
        <w:pStyle w:val="ListBullet"/>
      </w:pPr>
      <w:r>
        <w:t>Revoked — recognition withdrawn by authorized process.</w:t>
      </w:r>
    </w:p>
    <w:p>
      <w:pPr>
        <w:pStyle w:val="ListBullet"/>
      </w:pPr>
      <w:r>
        <w:t>Under Appeal / Stay — effective behavior governed by appeal and Stay Policy.</w:t>
      </w:r>
    </w:p>
    <w:p>
      <w:pPr>
        <w:pStyle w:val="ListBullet"/>
      </w:pPr>
      <w:r>
        <w:t>Restored — existing Award Instance returned to an eligible state after successful review.</w:t>
      </w:r>
    </w:p>
    <w:p>
      <w:pPr>
        <w:pStyle w:val="ListBullet"/>
      </w:pPr>
      <w:r>
        <w:t>Historical — retained for provenance and audit.</w:t>
      </w:r>
    </w:p>
    <w:p>
      <w:pPr>
        <w:pStyle w:val="Heading1"/>
      </w:pPr>
      <w:r>
        <w:t>7. Appeal and Restoration Architecture</w:t>
      </w:r>
    </w:p>
    <w:p>
      <w:pPr>
        <w:jc w:val="center"/>
      </w:pPr>
      <w:r>
        <w:t>Revoked</w:t>
      </w:r>
    </w:p>
    <w:p>
      <w:pPr>
        <w:jc w:val="center"/>
      </w:pPr>
      <w:r>
        <w:t xml:space="preserve">  ↓</w:t>
      </w:r>
    </w:p>
    <w:p>
      <w:pPr>
        <w:jc w:val="center"/>
      </w:pPr>
      <w:r>
        <w:t>Appeal Window</w:t>
      </w:r>
    </w:p>
    <w:p>
      <w:pPr>
        <w:jc w:val="center"/>
      </w:pPr>
      <w:r>
        <w:t xml:space="preserve">  ↓</w:t>
      </w:r>
    </w:p>
    <w:p>
      <w:pPr>
        <w:jc w:val="center"/>
      </w:pPr>
      <w:r>
        <w:t>Appeal Submitted</w:t>
      </w:r>
    </w:p>
    <w:p>
      <w:pPr>
        <w:jc w:val="center"/>
      </w:pPr>
      <w:r>
        <w:t xml:space="preserve">  ↓</w:t>
      </w:r>
    </w:p>
    <w:p>
      <w:pPr>
        <w:jc w:val="center"/>
      </w:pPr>
      <w:r>
        <w:t>Issuer Review</w:t>
      </w:r>
    </w:p>
    <w:p>
      <w:pPr>
        <w:jc w:val="center"/>
      </w:pPr>
      <w:r>
        <w:t xml:space="preserve">  ↓</w:t>
      </w:r>
    </w:p>
    <w:p>
      <w:pPr>
        <w:jc w:val="center"/>
      </w:pPr>
      <w:r>
        <w:t>Optional RumahAgen Escalation</w:t>
      </w:r>
    </w:p>
    <w:p>
      <w:pPr>
        <w:jc w:val="center"/>
      </w:pPr>
      <w:r>
        <w:t xml:space="preserve">  ↓</w:t>
      </w:r>
    </w:p>
    <w:p>
      <w:pPr>
        <w:jc w:val="center"/>
      </w:pPr>
      <w:r>
        <w:t>Decision</w:t>
      </w:r>
    </w:p>
    <w:p>
      <w:pPr>
        <w:jc w:val="center"/>
      </w:pPr>
      <w:r>
        <w:t xml:space="preserve">  ├── Restore SAME Award Instance</w:t>
      </w:r>
    </w:p>
    <w:p>
      <w:pPr>
        <w:jc w:val="center"/>
      </w:pPr>
      <w:r>
        <w:t xml:space="preserve">  └── Remain Revoked</w:t>
      </w:r>
    </w:p>
    <w:p>
      <w:r>
        <w:t>Appeal deadline semantics are based on the revocation timestamp, not notification delivery. Reinstatement restores the existing Award Instance; it must not create a second Award Instance for the same restoration.</w:t>
      </w:r>
    </w:p>
    <w:p>
      <w:pPr>
        <w:pStyle w:val="Heading1"/>
      </w:pPr>
      <w:r>
        <w:t>8. Presentation Architecture</w:t>
      </w:r>
    </w:p>
    <w:p>
      <w:pPr>
        <w:pStyle w:val="ListBullet"/>
      </w:pPr>
      <w:r>
        <w:t>Primary: maximum 0–1 displayed Title.</w:t>
      </w:r>
    </w:p>
    <w:p>
      <w:pPr>
        <w:pStyle w:val="ListBullet"/>
      </w:pPr>
      <w:r>
        <w:t>Featured: maximum 0–3 displayed Titles.</w:t>
      </w:r>
    </w:p>
    <w:p>
      <w:pPr>
        <w:pStyle w:val="ListBullet"/>
      </w:pPr>
      <w:r>
        <w:t>Primary and Featured are presentation preferences, not separate Award objects.</w:t>
      </w:r>
    </w:p>
    <w:p>
      <w:pPr>
        <w:pStyle w:val="ListBullet"/>
      </w:pPr>
      <w:r>
        <w:t>Agent controls Featured ordering.</w:t>
      </w:r>
    </w:p>
    <w:p>
      <w:pPr>
        <w:pStyle w:val="ListBullet"/>
      </w:pPr>
      <w:r>
        <w:t>Removing Featured does not delete or mutate the Award Instance.</w:t>
      </w:r>
    </w:p>
    <w:p>
      <w:pPr>
        <w:pStyle w:val="ListBullet"/>
      </w:pPr>
      <w:r>
        <w:t>Expired may remain Featured where the presentation policy permits, but expired status must remain visible.</w:t>
      </w:r>
    </w:p>
    <w:p>
      <w:pPr>
        <w:pStyle w:val="ListBullet"/>
      </w:pPr>
      <w:r>
        <w:t>Revoked Title cannot remain Featured.</w:t>
      </w:r>
    </w:p>
    <w:p>
      <w:pPr>
        <w:pStyle w:val="ListBullet"/>
      </w:pPr>
      <w:r>
        <w:t>Presentation eligibility must be derived from lifecycle state and policy rather than treated as a permanent ownership flag.</w:t>
      </w:r>
    </w:p>
    <w:p>
      <w:pPr>
        <w:pStyle w:val="Heading1"/>
      </w:pPr>
      <w:r>
        <w:t>9. Learning Integration Boundary</w:t>
      </w:r>
    </w:p>
    <w:p>
      <w:r>
        <w:t>Learning is an evidence/outcome source, not the authority for Title eligibility. Internal Learning, Partnership Learning, Assessment and Learning Points may contribute evidence where the applicable Awarding Path/Rule permits them.</w:t>
      </w:r>
    </w:p>
    <w:p>
      <w:pPr>
        <w:jc w:val="center"/>
      </w:pPr>
      <w:r>
        <w:t>Learning Activity / Assessment / Partner Outcome</w:t>
      </w:r>
    </w:p>
    <w:p>
      <w:pPr>
        <w:jc w:val="center"/>
      </w:pPr>
      <w:r>
        <w:t xml:space="preserve">             ↓</w:t>
      </w:r>
    </w:p>
    <w:p>
      <w:pPr>
        <w:jc w:val="center"/>
      </w:pPr>
      <w:r>
        <w:t xml:space="preserve">        Evidence / Outcome</w:t>
      </w:r>
    </w:p>
    <w:p>
      <w:pPr>
        <w:jc w:val="center"/>
      </w:pPr>
      <w:r>
        <w:t xml:space="preserve">             ↓</w:t>
      </w:r>
    </w:p>
    <w:p>
      <w:pPr>
        <w:jc w:val="center"/>
      </w:pPr>
      <w:r>
        <w:t>Awarding Path Version + Awarding Rule Version</w:t>
      </w:r>
    </w:p>
    <w:p>
      <w:pPr>
        <w:jc w:val="center"/>
      </w:pPr>
      <w:r>
        <w:t xml:space="preserve">             ↓</w:t>
      </w:r>
    </w:p>
    <w:p>
      <w:pPr>
        <w:jc w:val="center"/>
      </w:pPr>
      <w:r>
        <w:t xml:space="preserve">        Qualification</w:t>
      </w:r>
    </w:p>
    <w:p>
      <w:pPr>
        <w:jc w:val="center"/>
      </w:pPr>
      <w:r>
        <w:t xml:space="preserve">             ↓</w:t>
      </w:r>
    </w:p>
    <w:p>
      <w:pPr>
        <w:jc w:val="center"/>
      </w:pPr>
      <w:r>
        <w:t xml:space="preserve">        Award Instance</w:t>
      </w:r>
    </w:p>
    <w:p>
      <w:r>
        <w:t>Learning Credential remains distinct from Award Instance under MADCR-046. Learning Points are not a universal Title prerequisite.</w:t>
      </w:r>
    </w:p>
    <w:p>
      <w:pPr>
        <w:pStyle w:val="Heading1"/>
      </w:pPr>
      <w:r>
        <w:t>10. Authority, Scope and RBAC Boundary</w:t>
      </w:r>
    </w:p>
    <w:p>
      <w:r>
        <w:t>The target architecture must support distinct authority roles/capabilities for agent/owner, issuer, agency/organization authority, partner authority, RumahAgen administration and escalation authority. The exact permission matrix is a downstream artifact.</w:t>
      </w:r>
    </w:p>
    <w:p>
      <w:r>
        <w:t>Agency versus Organization semantics remain a controlled dependency. This architecture therefore defines authority/scope as a bounded capability without inventing unresolved governance details.</w:t>
      </w:r>
    </w:p>
    <w:p>
      <w:pPr>
        <w:pStyle w:val="Heading1"/>
      </w:pPr>
      <w:r>
        <w:t>11. Configuration and Historical Integrity</w:t>
      </w:r>
    </w:p>
    <w:p>
      <w:pPr>
        <w:pStyle w:val="ListBullet"/>
      </w:pPr>
      <w:r>
        <w:t>Configurable Title/Awarding policies must be represented as governed configuration rather than hard-coded application constants where the business rules explicitly require configurability.</w:t>
      </w:r>
    </w:p>
    <w:p>
      <w:pPr>
        <w:pStyle w:val="ListBullet"/>
      </w:pPr>
      <w:r>
        <w:t>Changing current configuration must not rewrite historical Award Instance meaning.</w:t>
      </w:r>
    </w:p>
    <w:p>
      <w:pPr>
        <w:pStyle w:val="ListBullet"/>
      </w:pPr>
      <w:r>
        <w:t>Historical Award Instance must remain explainable using its applicable Path Version and Rule Version.</w:t>
      </w:r>
    </w:p>
    <w:p>
      <w:pPr>
        <w:pStyle w:val="ListBullet"/>
      </w:pPr>
      <w:r>
        <w:t>Title rename does not create a new Award.</w:t>
      </w:r>
    </w:p>
    <w:p>
      <w:pPr>
        <w:pStyle w:val="ListBullet"/>
      </w:pPr>
      <w:r>
        <w:t>Material Awarding Rule change creates a new Rule Version.</w:t>
      </w:r>
    </w:p>
    <w:p>
      <w:pPr>
        <w:pStyle w:val="ListBullet"/>
      </w:pPr>
      <w:r>
        <w:t>Material Awarding Path change creates a new Path Version.</w:t>
      </w:r>
    </w:p>
    <w:p>
      <w:pPr>
        <w:pStyle w:val="ListBullet"/>
      </w:pPr>
      <w:r>
        <w:t>Used versions remain semantically immutable under the governing MADCR decisions.</w:t>
      </w:r>
    </w:p>
    <w:p>
      <w:pPr>
        <w:pStyle w:val="Heading1"/>
      </w:pPr>
      <w:r>
        <w:t>12. Open / Not Locked Architecture Areas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Open Area</w:t>
            </w:r>
          </w:p>
        </w:tc>
        <w:tc>
          <w:tcPr>
            <w:tcW w:type="dxa" w:w="3312"/>
          </w:tcPr>
          <w:p>
            <w:r>
              <w:t>Why Open</w:t>
            </w:r>
          </w:p>
        </w:tc>
        <w:tc>
          <w:tcPr>
            <w:tcW w:type="dxa" w:w="3312"/>
          </w:tcPr>
          <w:p>
            <w:r>
              <w:t>Control</w:t>
            </w:r>
          </w:p>
        </w:tc>
      </w:tr>
      <w:tr>
        <w:tc>
          <w:tcPr>
            <w:tcW w:type="dxa" w:w="3312"/>
          </w:tcPr>
          <w:p>
            <w:r>
              <w:t>Current-version concurrency</w:t>
            </w:r>
          </w:p>
        </w:tc>
        <w:tc>
          <w:tcPr>
            <w:tcW w:type="dxa" w:w="3312"/>
          </w:tcPr>
          <w:p>
            <w:r>
              <w:t>MADCR-037 deliberately does not lock concurrent current-version behavior.</w:t>
            </w:r>
          </w:p>
        </w:tc>
        <w:tc>
          <w:tcPr>
            <w:tcW w:type="dxa" w:w="3312"/>
          </w:tcPr>
          <w:p>
            <w:r>
              <w:t>Do not invent implementation constraint.</w:t>
            </w:r>
          </w:p>
        </w:tc>
      </w:tr>
      <w:tr>
        <w:tc>
          <w:tcPr>
            <w:tcW w:type="dxa" w:w="3312"/>
          </w:tcPr>
          <w:p>
            <w:r>
              <w:t>Rule lineage cardinality</w:t>
            </w:r>
          </w:p>
        </w:tc>
        <w:tc>
          <w:tcPr>
            <w:tcW w:type="dxa" w:w="3312"/>
          </w:tcPr>
          <w:p>
            <w:r>
              <w:t>MADCR-041 leaves lineage cardinality open.</w:t>
            </w:r>
          </w:p>
        </w:tc>
        <w:tc>
          <w:tcPr>
            <w:tcW w:type="dxa" w:w="3312"/>
          </w:tcPr>
          <w:p>
            <w:r>
              <w:t>Defer to downstream evidence/ADR if required.</w:t>
            </w:r>
          </w:p>
        </w:tc>
      </w:tr>
      <w:tr>
        <w:tc>
          <w:tcPr>
            <w:tcW w:type="dxa" w:w="3312"/>
          </w:tcPr>
          <w:p>
            <w:r>
              <w:t>Rule effective temporal semantics</w:t>
            </w:r>
          </w:p>
        </w:tc>
        <w:tc>
          <w:tcPr>
            <w:tcW w:type="dxa" w:w="3312"/>
          </w:tcPr>
          <w:p>
            <w:r>
              <w:t>MADCR-041 does not require effective_from/effective_to semantics.</w:t>
            </w:r>
          </w:p>
        </w:tc>
        <w:tc>
          <w:tcPr>
            <w:tcW w:type="dxa" w:w="3312"/>
          </w:tcPr>
          <w:p>
            <w:r>
              <w:t>Do not introduce temporal model as an invariant without evidence.</w:t>
            </w:r>
          </w:p>
        </w:tc>
      </w:tr>
      <w:tr>
        <w:tc>
          <w:tcPr>
            <w:tcW w:type="dxa" w:w="3312"/>
          </w:tcPr>
          <w:p>
            <w:r>
              <w:t>Agency vs Organization authority semantics</w:t>
            </w:r>
          </w:p>
        </w:tc>
        <w:tc>
          <w:tcPr>
            <w:tcW w:type="dxa" w:w="3312"/>
          </w:tcPr>
          <w:p>
            <w:r>
              <w:t>Business rules define scope needs but exact architecture dependency remains governance-sensitive.</w:t>
            </w:r>
          </w:p>
        </w:tc>
        <w:tc>
          <w:tcPr>
            <w:tcW w:type="dxa" w:w="3312"/>
          </w:tcPr>
          <w:p>
            <w:r>
              <w:t>Keep as controlled downstream dependency.</w:t>
            </w:r>
          </w:p>
        </w:tc>
      </w:tr>
      <w:tr>
        <w:tc>
          <w:tcPr>
            <w:tcW w:type="dxa" w:w="3312"/>
          </w:tcPr>
          <w:p>
            <w:r>
              <w:t>Physical data model</w:t>
            </w:r>
          </w:p>
        </w:tc>
        <w:tc>
          <w:tcPr>
            <w:tcW w:type="dxa" w:w="3312"/>
          </w:tcPr>
          <w:p>
            <w:r>
              <w:t>No physical ERD/FK/table structure approved by this artifact.</w:t>
            </w:r>
          </w:p>
        </w:tc>
        <w:tc>
          <w:tcPr>
            <w:tcW w:type="dxa" w:w="3312"/>
          </w:tcPr>
          <w:p>
            <w:r>
              <w:t>Next downstream stage only after evidence review.</w:t>
            </w:r>
          </w:p>
        </w:tc>
      </w:tr>
      <w:tr>
        <w:tc>
          <w:tcPr>
            <w:tcW w:type="dxa" w:w="3312"/>
          </w:tcPr>
          <w:p>
            <w:r>
              <w:t>API contract</w:t>
            </w:r>
          </w:p>
        </w:tc>
        <w:tc>
          <w:tcPr>
            <w:tcW w:type="dxa" w:w="3312"/>
          </w:tcPr>
          <w:p>
            <w:r>
              <w:t>No endpoint or payload contract approved here.</w:t>
            </w:r>
          </w:p>
        </w:tc>
        <w:tc>
          <w:tcPr>
            <w:tcW w:type="dxa" w:w="3312"/>
          </w:tcPr>
          <w:p>
            <w:r>
              <w:t>Define at API impact stage.</w:t>
            </w:r>
          </w:p>
        </w:tc>
      </w:tr>
      <w:tr>
        <w:tc>
          <w:tcPr>
            <w:tcW w:type="dxa" w:w="3312"/>
          </w:tcPr>
          <w:p>
            <w:r>
              <w:t>RBAC permission IDs</w:t>
            </w:r>
          </w:p>
        </w:tc>
        <w:tc>
          <w:tcPr>
            <w:tcW w:type="dxa" w:w="3312"/>
          </w:tcPr>
          <w:p>
            <w:r>
              <w:t>No concrete permission IDs approved here.</w:t>
            </w:r>
          </w:p>
        </w:tc>
        <w:tc>
          <w:tcPr>
            <w:tcW w:type="dxa" w:w="3312"/>
          </w:tcPr>
          <w:p>
            <w:r>
              <w:t>Define at RBAC impact stage.</w:t>
            </w:r>
          </w:p>
        </w:tc>
      </w:tr>
      <w:tr>
        <w:tc>
          <w:tcPr>
            <w:tcW w:type="dxa" w:w="3312"/>
          </w:tcPr>
          <w:p>
            <w:r>
              <w:t>Event sourcing</w:t>
            </w:r>
          </w:p>
        </w:tc>
        <w:tc>
          <w:tcPr>
            <w:tcW w:type="dxa" w:w="3312"/>
          </w:tcPr>
          <w:p>
            <w:r>
              <w:t>Audit/event requirements do not imply event sourcing.</w:t>
            </w:r>
          </w:p>
        </w:tc>
        <w:tc>
          <w:tcPr>
            <w:tcW w:type="dxa" w:w="3312"/>
          </w:tcPr>
          <w:p>
            <w:r>
              <w:t>Architecture may use conventional state + audit unless later governance says otherwise.</w:t>
            </w:r>
          </w:p>
        </w:tc>
      </w:tr>
    </w:tbl>
    <w:p>
      <w:pPr>
        <w:pStyle w:val="Heading1"/>
      </w:pPr>
      <w:r>
        <w:t>13. Target Architecture Invariants</w:t>
      </w:r>
    </w:p>
    <w:p>
      <w:pPr>
        <w:pStyle w:val="ListBullet"/>
      </w:pPr>
      <w:r>
        <w:t>Title Definition ≠ Award Instance.</w:t>
      </w:r>
    </w:p>
    <w:p>
      <w:pPr>
        <w:pStyle w:val="ListBullet"/>
      </w:pPr>
      <w:r>
        <w:t>Title Identity ≠ Awarding Path Version ≠ Awarding Rule Version.</w:t>
      </w:r>
    </w:p>
    <w:p>
      <w:pPr>
        <w:pStyle w:val="ListBullet"/>
      </w:pPr>
      <w:r>
        <w:t>Award Instance preserves historical qualification provenance.</w:t>
      </w:r>
    </w:p>
    <w:p>
      <w:pPr>
        <w:pStyle w:val="ListBullet"/>
      </w:pPr>
      <w:r>
        <w:t>Qualification ≠ Award Instance.</w:t>
      </w:r>
    </w:p>
    <w:p>
      <w:pPr>
        <w:pStyle w:val="ListBullet"/>
      </w:pPr>
      <w:r>
        <w:t>Prerequisite lifecycle ≠ Award lifecycle.</w:t>
      </w:r>
    </w:p>
    <w:p>
      <w:pPr>
        <w:pStyle w:val="ListBullet"/>
      </w:pPr>
      <w:r>
        <w:t>Award lifecycle ≠ Presentation state.</w:t>
      </w:r>
    </w:p>
    <w:p>
      <w:pPr>
        <w:pStyle w:val="ListBullet"/>
      </w:pPr>
      <w:r>
        <w:t>Certificate/Credential ≠ Title/Award Instance.</w:t>
      </w:r>
    </w:p>
    <w:p>
      <w:pPr>
        <w:pStyle w:val="ListBullet"/>
      </w:pPr>
      <w:r>
        <w:t>Learning evidence may contribute to qualification but does not own Title eligibility.</w:t>
      </w:r>
    </w:p>
    <w:p>
      <w:pPr>
        <w:pStyle w:val="ListBullet"/>
      </w:pPr>
      <w:r>
        <w:t>Historical Awards are not destructively deleted by ordinary catalog/configuration changes.</w:t>
      </w:r>
    </w:p>
    <w:p>
      <w:pPr>
        <w:pStyle w:val="ListBullet"/>
      </w:pPr>
      <w:r>
        <w:t>Configuration changes do not rewrite historical recognition outcomes.</w:t>
      </w:r>
    </w:p>
    <w:p>
      <w:pPr>
        <w:pStyle w:val="Heading1"/>
      </w:pPr>
      <w:r>
        <w:t>14. Architecture Decision Candidates — Not Yet ADRs</w:t>
      </w:r>
    </w:p>
    <w:p>
      <w:pPr>
        <w:pStyle w:val="ListNumber"/>
      </w:pPr>
      <w:r>
        <w:t>Separate Title Definition from Award Instance.</w:t>
      </w:r>
    </w:p>
    <w:p>
      <w:pPr>
        <w:pStyle w:val="ListNumber"/>
      </w:pPr>
      <w:r>
        <w:t>Model Awarding Paths as independently versioned qualification routes.</w:t>
      </w:r>
    </w:p>
    <w:p>
      <w:pPr>
        <w:pStyle w:val="ListNumber"/>
      </w:pPr>
      <w:r>
        <w:t>Persist Award provenance including Path Version and Rule Version.</w:t>
      </w:r>
    </w:p>
    <w:p>
      <w:pPr>
        <w:pStyle w:val="ListNumber"/>
      </w:pPr>
      <w:r>
        <w:t>Separate Award lifecycle from prerequisite lifecycle.</w:t>
      </w:r>
    </w:p>
    <w:p>
      <w:pPr>
        <w:pStyle w:val="ListNumber"/>
      </w:pPr>
      <w:r>
        <w:t>Separate presentation state from Award state.</w:t>
      </w:r>
    </w:p>
    <w:p>
      <w:pPr>
        <w:pStyle w:val="ListNumber"/>
      </w:pPr>
      <w:r>
        <w:t>Version Awarding Rules without creating a new Title Identity.</w:t>
      </w:r>
    </w:p>
    <w:p>
      <w:pPr>
        <w:pStyle w:val="ListNumber"/>
      </w:pPr>
      <w:r>
        <w:t>Model revocation and appeal as explicit lifecycle processes.</w:t>
      </w:r>
    </w:p>
    <w:p>
      <w:pPr>
        <w:pStyle w:val="ListNumber"/>
      </w:pPr>
      <w:r>
        <w:t>Support multiple Award Instances according to repeat/renewal/progression policy.</w:t>
      </w:r>
    </w:p>
    <w:p>
      <w:pPr>
        <w:pStyle w:val="ListNumber"/>
      </w:pPr>
      <w:r>
        <w:t>Use governed configuration for configurable Title policies.</w:t>
      </w:r>
    </w:p>
    <w:p>
      <w:pPr>
        <w:pStyle w:val="ListNumber"/>
      </w:pPr>
      <w:r>
        <w:t>Preserve historical Award integrity.</w:t>
      </w:r>
    </w:p>
    <w:p>
      <w:r>
        <w:t>These candidates are carried forward from the AEP Title baseline as architecture work items. Their presence here does not itself constitute formal ADR approval. Existing approved MADCR decisions remain authoritative.</w:t>
      </w:r>
    </w:p>
    <w:p>
      <w:pPr>
        <w:pStyle w:val="Heading1"/>
      </w:pPr>
      <w:r>
        <w:t>15. Target Architecture Gate</w:t>
      </w:r>
    </w:p>
    <w:p>
      <w:r>
        <w:rPr>
          <w:b/>
        </w:rPr>
        <w:t>RESULT: PASS — TARGET TITLE/AWARDING DOMAIN ARCHITECTURE DEFINED</w:t>
      </w:r>
    </w:p>
    <w:p>
      <w:r>
        <w:t>The conceptual target architecture is sufficiently defined to proceed to the next controlled stage: AEP3-Impact-03 — ERD / Entity &amp; Relationship Impact Specification. That next stage must first use retrieved current ERD evidence where available and must not claim physical table changes from assumptions.</w:t>
      </w:r>
    </w:p>
    <w:p>
      <w:pPr>
        <w:pStyle w:val="Heading1"/>
      </w:pPr>
      <w:r>
        <w:t>16. Artifact Control</w:t>
      </w:r>
    </w:p>
    <w:p>
      <w:r>
        <w:t>Artifact ID: AEP3-Impact-02</w:t>
      </w:r>
    </w:p>
    <w:p>
      <w:r>
        <w:t>AEP: #3 — Title / Awarding Business Rules</w:t>
      </w:r>
    </w:p>
    <w:p>
      <w:r>
        <w:t>Status: COMPLETED</w:t>
      </w:r>
    </w:p>
    <w:p>
      <w:r>
        <w:t>Implementation authorization: NOT GRANTED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