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04 — Schema / Database Impact Specification</w:t>
      </w:r>
    </w:p>
    <w:p>
      <w:pPr>
        <w:jc w:val="center"/>
      </w:pPr>
      <w:r>
        <w:rPr>
          <w:i/>
        </w:rPr>
        <w:t>Version 1.0 | Status: COMPLETED — LOGICAL SCHEMA IMPACT, PHYSICAL IMPLEMENTATION NOT AUTHORIZED</w:t>
      </w:r>
    </w:p>
    <w:p>
      <w:pPr>
        <w:pStyle w:val="Heading1"/>
      </w:pPr>
      <w:r>
        <w:t>1. Purpose</w:t>
      </w:r>
    </w:p>
    <w:p>
      <w:r>
        <w:t>Menerjemahkan target Title/Awarding architecture dan keputusan AEP3-OD-01 Option B ke logical schema impact. Dokumen ini menentukan candidate entity boundaries, ownership, cardinality intent, historical requirements, dan relationship rules. Ini bukan migration script dan tidak mengotorisasi perubahan database.</w:t>
      </w:r>
    </w:p>
    <w:p>
      <w:pPr>
        <w:pStyle w:val="Heading1"/>
      </w:pPr>
      <w:r>
        <w:t>2. Governing Inputs</w:t>
      </w:r>
    </w:p>
    <w:p>
      <w:pPr>
        <w:pStyle w:val="ListBullet"/>
      </w:pPr>
      <w:r>
        <w:t>Title Business Rules 001–100 — normative business-rule baseline.</w:t>
      </w:r>
    </w:p>
    <w:p>
      <w:pPr>
        <w:pStyle w:val="ListBullet"/>
      </w:pPr>
      <w:r>
        <w:t>MADCR-036 — Title Definition ≠ Award Instance.</w:t>
      </w:r>
    </w:p>
    <w:p>
      <w:pPr>
        <w:pStyle w:val="ListBullet"/>
      </w:pPr>
      <w:r>
        <w:t>MADCR-037 — Awarding Path Version provenance and versioning.</w:t>
      </w:r>
    </w:p>
    <w:p>
      <w:pPr>
        <w:pStyle w:val="ListBullet"/>
      </w:pPr>
      <w:r>
        <w:t>MADCR-041 — Awarding Rule Version independent version boundary.</w:t>
      </w:r>
    </w:p>
    <w:p>
      <w:pPr>
        <w:pStyle w:val="ListBullet"/>
      </w:pPr>
      <w:r>
        <w:t>MADCR-046 — M04 Certificate/Credential ≠ M15 Title/Award Instance.</w:t>
      </w:r>
    </w:p>
    <w:p>
      <w:pPr>
        <w:pStyle w:val="ListBullet"/>
      </w:pPr>
      <w:r>
        <w:t>AEP3-OD-01 — Option B: stable Title Identity; no dedicated Title Identity Version entity.</w:t>
      </w:r>
    </w:p>
    <w:p>
      <w:pPr>
        <w:pStyle w:val="ListBullet"/>
      </w:pPr>
      <w:r>
        <w:t>Current ERD v1.4 — existing Learning Center entities and current M04 Certificate association.</w:t>
      </w:r>
    </w:p>
    <w:p>
      <w:pPr>
        <w:pStyle w:val="Heading1"/>
      </w:pPr>
      <w:r>
        <w:t>3. Logical Entity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Logical Entity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Historical Requirement</w:t>
            </w:r>
          </w:p>
        </w:tc>
        <w:tc>
          <w:tcPr>
            <w:tcW w:type="dxa" w:w="1728"/>
          </w:tcPr>
          <w:p>
            <w:r>
              <w:t>Key BR/MADCR</w:t>
            </w:r>
          </w:p>
        </w:tc>
      </w:tr>
      <w:tr>
        <w:tc>
          <w:tcPr>
            <w:tcW w:type="dxa" w:w="1728"/>
          </w:tcPr>
          <w:p>
            <w:r>
              <w:t>Title Definition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Stable Title identity, definition, category, policy/config references.</w:t>
            </w:r>
          </w:p>
        </w:tc>
        <w:tc>
          <w:tcPr>
            <w:tcW w:type="dxa" w:w="1728"/>
          </w:tcPr>
          <w:p>
            <w:r>
              <w:t>Current definition must not rewrite historical Award meaning.</w:t>
            </w:r>
          </w:p>
        </w:tc>
        <w:tc>
          <w:tcPr>
            <w:tcW w:type="dxa" w:w="1728"/>
          </w:tcPr>
          <w:p>
            <w:r>
              <w:t>001–005, 011–016, 021–034; MADCR-036</w:t>
            </w:r>
          </w:p>
        </w:tc>
      </w:tr>
      <w:tr>
        <w:tc>
          <w:tcPr>
            <w:tcW w:type="dxa" w:w="1728"/>
          </w:tcPr>
          <w:p>
            <w:r>
              <w:t>Awarding Path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Qualifying route owned by a Title.</w:t>
            </w:r>
          </w:p>
        </w:tc>
        <w:tc>
          <w:tcPr>
            <w:tcW w:type="dxa" w:w="1728"/>
          </w:tcPr>
          <w:p>
            <w:r>
              <w:t>Path identity survives versions.</w:t>
            </w:r>
          </w:p>
        </w:tc>
        <w:tc>
          <w:tcPr>
            <w:tcW w:type="dxa" w:w="1728"/>
          </w:tcPr>
          <w:p>
            <w:r>
              <w:t>014, 021, 037–052; MADCR-037</w:t>
            </w:r>
          </w:p>
        </w:tc>
      </w:tr>
      <w:tr>
        <w:tc>
          <w:tcPr>
            <w:tcW w:type="dxa" w:w="1728"/>
          </w:tcPr>
          <w:p>
            <w:r>
              <w:t>Awarding Path Version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Versioned qualification route.</w:t>
            </w:r>
          </w:p>
        </w:tc>
        <w:tc>
          <w:tcPr>
            <w:tcW w:type="dxa" w:w="1728"/>
          </w:tcPr>
          <w:p>
            <w:r>
              <w:t>Used version immutable/historically retained.</w:t>
            </w:r>
          </w:p>
        </w:tc>
        <w:tc>
          <w:tcPr>
            <w:tcW w:type="dxa" w:w="1728"/>
          </w:tcPr>
          <w:p>
            <w:r>
              <w:t>037–039, 051–052; MADCR-037</w:t>
            </w:r>
          </w:p>
        </w:tc>
      </w:tr>
      <w:tr>
        <w:tc>
          <w:tcPr>
            <w:tcW w:type="dxa" w:w="1728"/>
          </w:tcPr>
          <w:p>
            <w:r>
              <w:t>Awarding Rule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Stable logical rule identity/lineage.</w:t>
            </w:r>
          </w:p>
        </w:tc>
        <w:tc>
          <w:tcPr>
            <w:tcW w:type="dxa" w:w="1728"/>
          </w:tcPr>
          <w:p>
            <w:r>
              <w:t>Identity persists across versions.</w:t>
            </w:r>
          </w:p>
        </w:tc>
        <w:tc>
          <w:tcPr>
            <w:tcW w:type="dxa" w:w="1728"/>
          </w:tcPr>
          <w:p>
            <w:r>
              <w:t>041–052; MADCR-041</w:t>
            </w:r>
          </w:p>
        </w:tc>
      </w:tr>
      <w:tr>
        <w:tc>
          <w:tcPr>
            <w:tcW w:type="dxa" w:w="1728"/>
          </w:tcPr>
          <w:p>
            <w:r>
              <w:t>Awarding Rule Version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Exact rule semantics used by evaluation.</w:t>
            </w:r>
          </w:p>
        </w:tc>
        <w:tc>
          <w:tcPr>
            <w:tcW w:type="dxa" w:w="1728"/>
          </w:tcPr>
          <w:p>
            <w:r>
              <w:t>Used version immutable/historically retained.</w:t>
            </w:r>
          </w:p>
        </w:tc>
        <w:tc>
          <w:tcPr>
            <w:tcW w:type="dxa" w:w="1728"/>
          </w:tcPr>
          <w:p>
            <w:r>
              <w:t>021, 037–040, 051–052; MADCR-041</w:t>
            </w:r>
          </w:p>
        </w:tc>
      </w:tr>
      <w:tr>
        <w:tc>
          <w:tcPr>
            <w:tcW w:type="dxa" w:w="1728"/>
          </w:tcPr>
          <w:p>
            <w:r>
              <w:t>Awarding Condition / Group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AND/OR/grouped conditions and parameters.</w:t>
            </w:r>
          </w:p>
        </w:tc>
        <w:tc>
          <w:tcPr>
            <w:tcW w:type="dxa" w:w="1728"/>
          </w:tcPr>
          <w:p>
            <w:r>
              <w:t>Historical evaluation must remain explainable.</w:t>
            </w:r>
          </w:p>
        </w:tc>
        <w:tc>
          <w:tcPr>
            <w:tcW w:type="dxa" w:w="1728"/>
          </w:tcPr>
          <w:p>
            <w:r>
              <w:t>036–050</w:t>
            </w:r>
          </w:p>
        </w:tc>
      </w:tr>
      <w:tr>
        <w:tc>
          <w:tcPr>
            <w:tcW w:type="dxa" w:w="1728"/>
          </w:tcPr>
          <w:p>
            <w:r>
              <w:t>Prerequisite</w:t>
            </w:r>
          </w:p>
        </w:tc>
        <w:tc>
          <w:tcPr>
            <w:tcW w:type="dxa" w:w="1728"/>
          </w:tcPr>
          <w:p>
            <w:r>
              <w:t>NEW / EVOLVE</w:t>
            </w:r>
          </w:p>
        </w:tc>
        <w:tc>
          <w:tcPr>
            <w:tcW w:type="dxa" w:w="1728"/>
          </w:tcPr>
          <w:p>
            <w:r>
              <w:t>Qualification dependency referencing approved source/evidence.</w:t>
            </w:r>
          </w:p>
        </w:tc>
        <w:tc>
          <w:tcPr>
            <w:tcW w:type="dxa" w:w="1728"/>
          </w:tcPr>
          <w:p>
            <w:r>
              <w:t>Prerequisite state is not Award state.</w:t>
            </w:r>
          </w:p>
        </w:tc>
        <w:tc>
          <w:tcPr>
            <w:tcW w:type="dxa" w:w="1728"/>
          </w:tcPr>
          <w:p>
            <w:r>
              <w:t>014–020, 040–047</w:t>
            </w:r>
          </w:p>
        </w:tc>
      </w:tr>
      <w:tr>
        <w:tc>
          <w:tcPr>
            <w:tcW w:type="dxa" w:w="1728"/>
          </w:tcPr>
          <w:p>
            <w:r>
              <w:t>Qualification Evaluation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Evaluation attempt/result for a subject against Path/Rule.</w:t>
            </w:r>
          </w:p>
        </w:tc>
        <w:tc>
          <w:tcPr>
            <w:tcW w:type="dxa" w:w="1728"/>
          </w:tcPr>
          <w:p>
            <w:r>
              <w:t>Must preserve evaluated Path/Rule context.</w:t>
            </w:r>
          </w:p>
        </w:tc>
        <w:tc>
          <w:tcPr>
            <w:tcW w:type="dxa" w:w="1728"/>
          </w:tcPr>
          <w:p>
            <w:r>
              <w:t>019–021, 036–050</w:t>
            </w:r>
          </w:p>
        </w:tc>
      </w:tr>
      <w:tr>
        <w:tc>
          <w:tcPr>
            <w:tcW w:type="dxa" w:w="1728"/>
          </w:tcPr>
          <w:p>
            <w:r>
              <w:t>Evidence / Qualification Evidence</w:t>
            </w:r>
          </w:p>
        </w:tc>
        <w:tc>
          <w:tcPr>
            <w:tcW w:type="dxa" w:w="1728"/>
          </w:tcPr>
          <w:p>
            <w:r>
              <w:t>NEW / EVOLVE</w:t>
            </w:r>
          </w:p>
        </w:tc>
        <w:tc>
          <w:tcPr>
            <w:tcW w:type="dxa" w:w="1728"/>
          </w:tcPr>
          <w:p>
            <w:r>
              <w:t>Evidence/outcome from Learning, assessment, partner or other source.</w:t>
            </w:r>
          </w:p>
        </w:tc>
        <w:tc>
          <w:tcPr>
            <w:tcW w:type="dxa" w:w="1728"/>
          </w:tcPr>
          <w:p>
            <w:r>
              <w:t>Source provenance retained.</w:t>
            </w:r>
          </w:p>
        </w:tc>
        <w:tc>
          <w:tcPr>
            <w:tcW w:type="dxa" w:w="1728"/>
          </w:tcPr>
          <w:p>
            <w:r>
              <w:t>016–020, 041–047; AEP2 boundary</w:t>
            </w:r>
          </w:p>
        </w:tc>
      </w:tr>
      <w:tr>
        <w:tc>
          <w:tcPr>
            <w:tcW w:type="dxa" w:w="1728"/>
          </w:tcPr>
          <w:p>
            <w:r>
              <w:t>Award Instance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Historical recognition occurrence for a subject.</w:t>
            </w:r>
          </w:p>
        </w:tc>
        <w:tc>
          <w:tcPr>
            <w:tcW w:type="dxa" w:w="1728"/>
          </w:tcPr>
          <w:p>
            <w:r>
              <w:t>Immutable identity; lifecycle changes do not delete/recreate it.</w:t>
            </w:r>
          </w:p>
        </w:tc>
        <w:tc>
          <w:tcPr>
            <w:tcW w:type="dxa" w:w="1728"/>
          </w:tcPr>
          <w:p>
            <w:r>
              <w:t>019–028, 035–040, 051, 075–095; MADCR-036/037/041</w:t>
            </w:r>
          </w:p>
        </w:tc>
      </w:tr>
      <w:tr>
        <w:tc>
          <w:tcPr>
            <w:tcW w:type="dxa" w:w="1728"/>
          </w:tcPr>
          <w:p>
            <w:r>
              <w:t>Award Qualifying Path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Additional qualifying-path provenance where multiple routes qualify.</w:t>
            </w:r>
          </w:p>
        </w:tc>
        <w:tc>
          <w:tcPr>
            <w:tcW w:type="dxa" w:w="1728"/>
          </w:tcPr>
          <w:p>
            <w:r>
              <w:t>Must not duplicate ownership Award unnecessarily.</w:t>
            </w:r>
          </w:p>
        </w:tc>
        <w:tc>
          <w:tcPr>
            <w:tcW w:type="dxa" w:w="1728"/>
          </w:tcPr>
          <w:p>
            <w:r>
              <w:t>042, 050–052</w:t>
            </w:r>
          </w:p>
        </w:tc>
      </w:tr>
      <w:tr>
        <w:tc>
          <w:tcPr>
            <w:tcW w:type="dxa" w:w="1728"/>
          </w:tcPr>
          <w:p>
            <w:r>
              <w:t>Award Lifecycle History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Historical revocation/expiration/restoration/stay transitions.</w:t>
            </w:r>
          </w:p>
        </w:tc>
        <w:tc>
          <w:tcPr>
            <w:tcW w:type="dxa" w:w="1728"/>
          </w:tcPr>
          <w:p>
            <w:r>
              <w:t>Append-preserving history required conceptually.</w:t>
            </w:r>
          </w:p>
        </w:tc>
        <w:tc>
          <w:tcPr>
            <w:tcW w:type="dxa" w:w="1728"/>
          </w:tcPr>
          <w:p>
            <w:r>
              <w:t>078–092</w:t>
            </w:r>
          </w:p>
        </w:tc>
      </w:tr>
      <w:tr>
        <w:tc>
          <w:tcPr>
            <w:tcW w:type="dxa" w:w="1728"/>
          </w:tcPr>
          <w:p>
            <w:r>
              <w:t>Appeal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Appeal workflow against revocation.</w:t>
            </w:r>
          </w:p>
        </w:tc>
        <w:tc>
          <w:tcPr>
            <w:tcW w:type="dxa" w:w="1728"/>
          </w:tcPr>
          <w:p>
            <w:r>
              <w:t>Preserve submitted/review/decision timeline.</w:t>
            </w:r>
          </w:p>
        </w:tc>
        <w:tc>
          <w:tcPr>
            <w:tcW w:type="dxa" w:w="1728"/>
          </w:tcPr>
          <w:p>
            <w:r>
              <w:t>081–090</w:t>
            </w:r>
          </w:p>
        </w:tc>
      </w:tr>
      <w:tr>
        <w:tc>
          <w:tcPr>
            <w:tcW w:type="dxa" w:w="1728"/>
          </w:tcPr>
          <w:p>
            <w:r>
              <w:t>Presentation Preference</w:t>
            </w:r>
          </w:p>
        </w:tc>
        <w:tc>
          <w:tcPr>
            <w:tcW w:type="dxa" w:w="1728"/>
          </w:tcPr>
          <w:p>
            <w:r>
              <w:t>EVOLVE / NEW</w:t>
            </w:r>
          </w:p>
        </w:tc>
        <w:tc>
          <w:tcPr>
            <w:tcW w:type="dxa" w:w="1728"/>
          </w:tcPr>
          <w:p>
            <w:r>
              <w:t>Primary/Featured selection and ordering.</w:t>
            </w:r>
          </w:p>
        </w:tc>
        <w:tc>
          <w:tcPr>
            <w:tcW w:type="dxa" w:w="1728"/>
          </w:tcPr>
          <w:p>
            <w:r>
              <w:t>Must not mutate Award ownership/history.</w:t>
            </w:r>
          </w:p>
        </w:tc>
        <w:tc>
          <w:tcPr>
            <w:tcW w:type="dxa" w:w="1728"/>
          </w:tcPr>
          <w:p>
            <w:r>
              <w:t>003, 005–010, 094–100</w:t>
            </w:r>
          </w:p>
        </w:tc>
      </w:tr>
      <w:tr>
        <w:tc>
          <w:tcPr>
            <w:tcW w:type="dxa" w:w="1728"/>
          </w:tcPr>
          <w:p>
            <w:r>
              <w:t>Authority / Scope Binding</w:t>
            </w:r>
          </w:p>
        </w:tc>
        <w:tc>
          <w:tcPr>
            <w:tcW w:type="dxa" w:w="1728"/>
          </w:tcPr>
          <w:p>
            <w:r>
              <w:t>EVOLVE / NEW</w:t>
            </w:r>
          </w:p>
        </w:tc>
        <w:tc>
          <w:tcPr>
            <w:tcW w:type="dxa" w:w="1728"/>
          </w:tcPr>
          <w:p>
            <w:r>
              <w:t>Issuer/owner/partner/agency/org scope.</w:t>
            </w:r>
          </w:p>
        </w:tc>
        <w:tc>
          <w:tcPr>
            <w:tcW w:type="dxa" w:w="1728"/>
          </w:tcPr>
          <w:p>
            <w:r>
              <w:t>Exact Agency/Organization cardinality remains open.</w:t>
            </w:r>
          </w:p>
        </w:tc>
        <w:tc>
          <w:tcPr>
            <w:tcW w:type="dxa" w:w="1728"/>
          </w:tcPr>
          <w:p>
            <w:r>
              <w:t>002, 018, 025, 053–054, 071–074</w:t>
            </w:r>
          </w:p>
        </w:tc>
      </w:tr>
      <w:tr>
        <w:tc>
          <w:tcPr>
            <w:tcW w:type="dxa" w:w="1728"/>
          </w:tcPr>
          <w:p>
            <w:r>
              <w:t>Audit / Provenance</w:t>
            </w:r>
          </w:p>
        </w:tc>
        <w:tc>
          <w:tcPr>
            <w:tcW w:type="dxa" w:w="1728"/>
          </w:tcPr>
          <w:p>
            <w:r>
              <w:t>EVOLVE / NEW</w:t>
            </w:r>
          </w:p>
        </w:tc>
        <w:tc>
          <w:tcPr>
            <w:tcW w:type="dxa" w:w="1728"/>
          </w:tcPr>
          <w:p>
            <w:r>
              <w:t>Explainability and governance trace.</w:t>
            </w:r>
          </w:p>
        </w:tc>
        <w:tc>
          <w:tcPr>
            <w:tcW w:type="dxa" w:w="1728"/>
          </w:tcPr>
          <w:p>
            <w:r>
              <w:t>Historical records must remain auditable.</w:t>
            </w:r>
          </w:p>
        </w:tc>
        <w:tc>
          <w:tcPr>
            <w:tcW w:type="dxa" w:w="1728"/>
          </w:tcPr>
          <w:p>
            <w:r>
              <w:t>023–024, 036–038, 075–077, 089–090</w:t>
            </w:r>
          </w:p>
        </w:tc>
      </w:tr>
      <w:tr>
        <w:tc>
          <w:tcPr>
            <w:tcW w:type="dxa" w:w="1728"/>
          </w:tcPr>
          <w:p>
            <w:r>
              <w:t>M04 Certificate</w:t>
            </w:r>
          </w:p>
        </w:tc>
        <w:tc>
          <w:tcPr>
            <w:tcW w:type="dxa" w:w="1728"/>
          </w:tcPr>
          <w:p>
            <w:r>
              <w:t>KEEP + ISOLATE</w:t>
            </w:r>
          </w:p>
        </w:tc>
        <w:tc>
          <w:tcPr>
            <w:tcW w:type="dxa" w:w="1728"/>
          </w:tcPr>
          <w:p>
            <w:r>
              <w:t>Learning credential tied to Course/User.</w:t>
            </w:r>
          </w:p>
        </w:tc>
        <w:tc>
          <w:tcPr>
            <w:tcW w:type="dxa" w:w="1728"/>
          </w:tcPr>
          <w:p>
            <w:r>
              <w:t>Existing semantics preserved; not Award storage.</w:t>
            </w:r>
          </w:p>
        </w:tc>
        <w:tc>
          <w:tcPr>
            <w:tcW w:type="dxa" w:w="1728"/>
          </w:tcPr>
          <w:p>
            <w:r>
              <w:t>MADCR-046</w:t>
            </w:r>
          </w:p>
        </w:tc>
      </w:tr>
    </w:tbl>
    <w:p>
      <w:pPr>
        <w:pStyle w:val="Heading1"/>
      </w:pPr>
      <w:r>
        <w:t>4. Core Logical Relationships</w:t>
      </w:r>
    </w:p>
    <w:p>
      <w:r>
        <w:t>Title Definition 1 ── N Awarding Paths</w:t>
      </w:r>
    </w:p>
    <w:p>
      <w:r>
        <w:t>Awarding Path 1 ── N Awarding Path Versions</w:t>
      </w:r>
    </w:p>
    <w:p>
      <w:r>
        <w:t>Awarding Rule 1 ── N Awarding Rule Versions</w:t>
      </w:r>
    </w:p>
    <w:p>
      <w:r>
        <w:t>Awarding Path Version N ── N applicable Rule Versions (conceptual reuse boundary)</w:t>
      </w:r>
    </w:p>
    <w:p>
      <w:r>
        <w:t>Awarding Path Version 1 ── N Qualification Evaluations</w:t>
      </w:r>
    </w:p>
    <w:p>
      <w:r>
        <w:t>Awarding Rule Version 1 ── N Qualification Evaluations</w:t>
      </w:r>
    </w:p>
    <w:p>
      <w:r>
        <w:t>Qualification Evaluation 1 ── N Evidence Records</w:t>
      </w:r>
    </w:p>
    <w:p>
      <w:r>
        <w:t>Qualification Evaluation 0..1 ── 1 Award Instance (depending on result/policy)</w:t>
      </w:r>
    </w:p>
    <w:p>
      <w:r>
        <w:t>Title Definition 1 ── N Award Instances</w:t>
      </w:r>
    </w:p>
    <w:p>
      <w:r>
        <w:t>Award Instance 1 ── N Lifecycle History Records</w:t>
      </w:r>
    </w:p>
    <w:p>
      <w:r>
        <w:t>Award Instance 1 ── N Appeal Records (policy-dependent)</w:t>
      </w:r>
    </w:p>
    <w:p>
      <w:r>
        <w:t>Agent/Subject 1 ── N Award Instances</w:t>
      </w:r>
    </w:p>
    <w:p>
      <w:r>
        <w:t>Agent/Subject 1 ── 0..1 Primary Presentation Selection</w:t>
      </w:r>
    </w:p>
    <w:p>
      <w:r>
        <w:t>Agent/Subject 1 ── 0..3 Featured Presentation Selections</w:t>
      </w:r>
    </w:p>
    <w:p>
      <w:r>
        <w:t>M04 Certificate remains User × Course and is not an Award Instance</w:t>
      </w:r>
    </w:p>
    <w:p>
      <w:pPr>
        <w:pStyle w:val="Heading1"/>
      </w:pPr>
      <w:r>
        <w:t>5. Versioning Model After AEP3-OD-01</w:t>
      </w:r>
    </w:p>
    <w:p>
      <w:pPr>
        <w:jc w:val="center"/>
      </w:pPr>
      <w:r>
        <w:t>Title Identity (stable)</w:t>
      </w:r>
    </w:p>
    <w:p>
      <w:pPr>
        <w:jc w:val="center"/>
      </w:pPr>
      <w:r>
        <w:t xml:space="preserve">      │</w:t>
      </w:r>
    </w:p>
    <w:p>
      <w:pPr>
        <w:jc w:val="center"/>
      </w:pPr>
      <w:r>
        <w:t xml:space="preserve">      ├── Awarding Path A</w:t>
      </w:r>
    </w:p>
    <w:p>
      <w:pPr>
        <w:jc w:val="center"/>
      </w:pPr>
      <w:r>
        <w:t xml:space="preserve">      │       ├── Path Version 1 ── Rule Version 3</w:t>
      </w:r>
    </w:p>
    <w:p>
      <w:pPr>
        <w:jc w:val="center"/>
      </w:pPr>
      <w:r>
        <w:t xml:space="preserve">      │       └── Path Version 2 ── Rule Version 3</w:t>
      </w:r>
    </w:p>
    <w:p>
      <w:pPr>
        <w:jc w:val="center"/>
      </w:pPr>
      <w:r>
        <w:t xml:space="preserve">      │</w:t>
      </w:r>
    </w:p>
    <w:p>
      <w:pPr>
        <w:jc w:val="center"/>
      </w:pPr>
      <w:r>
        <w:t xml:space="preserve">      └── Awarding Path B</w:t>
      </w:r>
    </w:p>
    <w:p>
      <w:pPr>
        <w:jc w:val="center"/>
      </w:pPr>
      <w:r>
        <w:t xml:space="preserve">              └── Path Version 1 ── Rule Version 4</w:t>
      </w:r>
    </w:p>
    <w:p>
      <w:pPr>
        <w:jc w:val="center"/>
      </w:pPr>
      <w:r/>
    </w:p>
    <w:p>
      <w:pPr>
        <w:jc w:val="center"/>
      </w:pPr>
      <w:r>
        <w:t>Award Instance #1 → Path Version A1 + Rule Version 3</w:t>
      </w:r>
    </w:p>
    <w:p>
      <w:pPr>
        <w:jc w:val="center"/>
      </w:pPr>
      <w:r>
        <w:t>Award Instance #2 → Path Version A2 + Rule Version 3</w:t>
      </w:r>
    </w:p>
    <w:p>
      <w:r>
        <w:t>No Title Identity Version entity is introduced. If Title presentation/configuration changes, the stable Title identity remains. If qualification meaning changes materially, the relevant Path Version and/or Rule Version changes so existing Awards retain historical semantics.</w:t>
      </w:r>
    </w:p>
    <w:p>
      <w:pPr>
        <w:pStyle w:val="Heading1"/>
      </w:pPr>
      <w:r>
        <w:t>6. M04 Certificate Boundary</w:t>
      </w:r>
    </w:p>
    <w:p>
      <w:pPr>
        <w:pStyle w:val="ListBullet"/>
      </w:pPr>
      <w:r>
        <w:t>KEEP existing certificates association and semantics.</w:t>
      </w:r>
    </w:p>
    <w:p>
      <w:pPr>
        <w:pStyle w:val="ListBullet"/>
      </w:pPr>
      <w:r>
        <w:t>Do not migrate certificate rows into Award Instance rows.</w:t>
      </w:r>
    </w:p>
    <w:p>
      <w:pPr>
        <w:pStyle w:val="ListBullet"/>
      </w:pPr>
      <w:r>
        <w:t>Do not reuse certificates as Award Instance storage.</w:t>
      </w:r>
    </w:p>
    <w:p>
      <w:pPr>
        <w:pStyle w:val="ListBullet"/>
      </w:pPr>
      <w:r>
        <w:t>No automatic certificate → Award conversion is defined.</w:t>
      </w:r>
    </w:p>
    <w:p>
      <w:pPr>
        <w:pStyle w:val="ListBullet"/>
      </w:pPr>
      <w:r>
        <w:t>A Certificate may become evidence/outcome consumed by Awarding where an applicable Path/Rule permits it.</w:t>
      </w:r>
    </w:p>
    <w:p>
      <w:pPr>
        <w:pStyle w:val="ListBullet"/>
      </w:pPr>
      <w:r>
        <w:t>Any future cross-reference must be separately designed and governed.</w:t>
      </w:r>
    </w:p>
    <w:p>
      <w:pPr>
        <w:pStyle w:val="Heading1"/>
      </w:pPr>
      <w:r>
        <w:t>7. Historical Integrity Requirements</w:t>
      </w:r>
    </w:p>
    <w:p>
      <w:pPr>
        <w:pStyle w:val="ListBullet"/>
      </w:pPr>
      <w:r>
        <w:t>Award Instance identity must survive Expired, Revoked, Appeal and Restored transitions.</w:t>
      </w:r>
    </w:p>
    <w:p>
      <w:pPr>
        <w:pStyle w:val="ListBullet"/>
      </w:pPr>
      <w:r>
        <w:t>Used Path Version and Rule Version cannot be mutated to change historical Award meaning.</w:t>
      </w:r>
    </w:p>
    <w:p>
      <w:pPr>
        <w:pStyle w:val="ListBullet"/>
      </w:pPr>
      <w:r>
        <w:t>Lifecycle history must be append-preserving conceptually; exact storage mechanism remains open.</w:t>
      </w:r>
    </w:p>
    <w:p>
      <w:pPr>
        <w:pStyle w:val="ListBullet"/>
      </w:pPr>
      <w:r>
        <w:t>Award restoration returns the original Award Instance and does not create a new Award.</w:t>
      </w:r>
    </w:p>
    <w:p>
      <w:pPr>
        <w:pStyle w:val="ListBullet"/>
      </w:pPr>
      <w:r>
        <w:t>Historical Award interpretation must not depend only on mutable current Title configuration.</w:t>
      </w:r>
    </w:p>
    <w:p>
      <w:pPr>
        <w:pStyle w:val="ListBullet"/>
      </w:pPr>
      <w:r>
        <w:t>Presentation changes must never delete or mutate the Award Instance.</w:t>
      </w:r>
    </w:p>
    <w:p>
      <w:pPr>
        <w:pStyle w:val="Heading1"/>
      </w:pPr>
      <w:r>
        <w:t>8. Constraints and Candidate Uniqueness</w:t>
      </w:r>
    </w:p>
    <w:p>
      <w:pPr>
        <w:pStyle w:val="ListBullet"/>
      </w:pPr>
      <w:r>
        <w:t>Title Identity must remain stable and uniquely identifiable within its governed scope.</w:t>
      </w:r>
    </w:p>
    <w:p>
      <w:pPr>
        <w:pStyle w:val="ListBullet"/>
      </w:pPr>
      <w:r>
        <w:t>Award Instance must have a unique identity independent of Certificate identity.</w:t>
      </w:r>
    </w:p>
    <w:p>
      <w:pPr>
        <w:pStyle w:val="ListBullet"/>
      </w:pPr>
      <w:r>
        <w:t>Used Path Version and Rule Version must be addressable historically.</w:t>
      </w:r>
    </w:p>
    <w:p>
      <w:pPr>
        <w:pStyle w:val="ListBullet"/>
      </w:pPr>
      <w:r>
        <w:t>Primary presentation must be constrained to at most one per subject under the applicable presentation scope.</w:t>
      </w:r>
    </w:p>
    <w:p>
      <w:pPr>
        <w:pStyle w:val="ListBullet"/>
      </w:pPr>
      <w:r>
        <w:t>Featured presentation must be constrained to at most three per subject under the applicable presentation scope.</w:t>
      </w:r>
    </w:p>
    <w:p>
      <w:pPr>
        <w:pStyle w:val="ListBullet"/>
      </w:pPr>
      <w:r>
        <w:t>No uniqueness rule is proposed that would prevent legitimate repeat/renewal Awards before the corresponding business policy is explicitly translated.</w:t>
      </w:r>
    </w:p>
    <w:p>
      <w:pPr>
        <w:pStyle w:val="Heading1"/>
      </w:pPr>
      <w:r>
        <w:t>9. Open Decisions Remaining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Open Area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Treatment</w:t>
            </w:r>
          </w:p>
        </w:tc>
      </w:tr>
      <w:tr>
        <w:tc>
          <w:tcPr>
            <w:tcW w:type="dxa" w:w="2160"/>
          </w:tcPr>
          <w:p>
            <w:r>
              <w:t>AEP3-OD-02</w:t>
            </w:r>
          </w:p>
        </w:tc>
        <w:tc>
          <w:tcPr>
            <w:tcW w:type="dxa" w:w="2160"/>
          </w:tcPr>
          <w:p>
            <w:r>
              <w:t>Authority/Scope cardinality for Title and Award Instance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Defer to authority/scope downstream governance; use abstract binding in schema specification.</w:t>
            </w:r>
          </w:p>
        </w:tc>
      </w:tr>
      <w:tr>
        <w:tc>
          <w:tcPr>
            <w:tcW w:type="dxa" w:w="2160"/>
          </w:tcPr>
          <w:p>
            <w:r>
              <w:t>AEP3-OD-03</w:t>
            </w:r>
          </w:p>
        </w:tc>
        <w:tc>
          <w:tcPr>
            <w:tcW w:type="dxa" w:w="2160"/>
          </w:tcPr>
          <w:p>
            <w:r>
              <w:t>Lifecycle/Appeal storage mechanism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Defer physical mechanism; require historical integrity regardless of storage pattern.</w:t>
            </w:r>
          </w:p>
        </w:tc>
      </w:tr>
      <w:tr>
        <w:tc>
          <w:tcPr>
            <w:tcW w:type="dxa" w:w="2160"/>
          </w:tcPr>
          <w:p>
            <w:r>
              <w:t>AEP3-OD-04</w:t>
            </w:r>
          </w:p>
        </w:tc>
        <w:tc>
          <w:tcPr>
            <w:tcW w:type="dxa" w:w="2160"/>
          </w:tcPr>
          <w:p>
            <w:r>
              <w:t>Rule lineage cardinality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MADCR-041 leaves it open; do not impose FK/cardinality beyond required provenance.</w:t>
            </w:r>
          </w:p>
        </w:tc>
      </w:tr>
      <w:tr>
        <w:tc>
          <w:tcPr>
            <w:tcW w:type="dxa" w:w="2160"/>
          </w:tcPr>
          <w:p>
            <w:r>
              <w:t>AEP3-OD-05</w:t>
            </w:r>
          </w:p>
        </w:tc>
        <w:tc>
          <w:tcPr>
            <w:tcW w:type="dxa" w:w="2160"/>
          </w:tcPr>
          <w:p>
            <w:r>
              <w:t>Rule temporal/effective-date semantics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MADCR-041 does not lock it; no effective_from/effective_to invariant introduced.</w:t>
            </w:r>
          </w:p>
        </w:tc>
      </w:tr>
    </w:tbl>
    <w:p>
      <w:pPr>
        <w:pStyle w:val="Heading1"/>
      </w:pPr>
      <w:r>
        <w:t>10. Schema Gate</w:t>
      </w:r>
    </w:p>
    <w:p>
      <w:r>
        <w:rPr>
          <w:b/>
        </w:rPr>
        <w:t>RESULT: PASS WITH CONTROLLED OPEN ITEMS</w:t>
      </w:r>
    </w:p>
    <w:p>
      <w:r>
        <w:t>AEP3-OD-01 is resolved as Option B and no longer blocks schema impact. The logical schema target is sufficiently defined to proceed to the API impact stage after documenting the remaining open authority/lifecycle/version semantics. No physical migration or database implementation is authorized.</w:t>
      </w:r>
    </w:p>
    <w:p>
      <w:pPr>
        <w:pStyle w:val="Heading1"/>
      </w:pPr>
      <w:r>
        <w:t>11. Next Step</w:t>
      </w:r>
    </w:p>
    <w:p>
      <w:r>
        <w:t>AEP3-Impact-05 — API Synchronization / Contract Impact Specification. The API stage will translate the logical Title/Awarding domain into resource and workflow contracts while preserving the same boundaries and avoiding endpoint implementation until the contract impact is reviewed.</w:t>
      </w:r>
    </w:p>
    <w:p>
      <w:pPr>
        <w:pStyle w:val="Heading1"/>
      </w:pPr>
      <w:r>
        <w:t>12. Artifact Control</w:t>
      </w:r>
    </w:p>
    <w:p>
      <w:r>
        <w:t>Artifact ID: AEP3-Impact-04</w:t>
      </w:r>
    </w:p>
    <w:p>
      <w:r>
        <w:t>AEP: #3 — Title / Awarding Business Rules</w:t>
      </w:r>
    </w:p>
    <w:p>
      <w:r>
        <w:t>Status: COMPLETED</w:t>
      </w:r>
    </w:p>
    <w:p>
      <w:r>
        <w:t>Implementation authorization: NOT GRANTED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