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RUMAHAGEN — AEP #3</w:t>
      </w:r>
    </w:p>
    <w:p>
      <w:pPr>
        <w:jc w:val="center"/>
      </w:pPr>
      <w:r>
        <w:rPr>
          <w:b/>
          <w:sz w:val="36"/>
        </w:rPr>
        <w:t>Impact 05 — API Synchronization / Contract Impact Specification</w:t>
      </w:r>
    </w:p>
    <w:p>
      <w:pPr>
        <w:jc w:val="center"/>
      </w:pPr>
      <w:r>
        <w:rPr>
          <w:i/>
        </w:rPr>
        <w:t>Version 1.0 | Status: COMPLETED — SEMANTIC API CONTRACT IMPACT, IMPLEMENTATION NOT AUTHORIZED</w:t>
      </w:r>
    </w:p>
    <w:p>
      <w:pPr>
        <w:pStyle w:val="Heading1"/>
      </w:pPr>
      <w:r>
        <w:t>1. Purpose</w:t>
      </w:r>
    </w:p>
    <w:p>
      <w:r>
        <w:t>Mendefinisikan API capability dan contract impact yang dibutuhkan oleh Title/Awarding domain, berdasarkan current API conventions dan target logical architecture AEP #3. Dokumen ini tidak mengubah endpoint existing, tidak menetapkan final payload schema, dan tidak mengotorisasi coding.</w:t>
      </w:r>
    </w:p>
    <w:p>
      <w:pPr>
        <w:pStyle w:val="Heading1"/>
      </w:pPr>
      <w:r>
        <w:t>2. Current API Evidence</w:t>
      </w:r>
    </w:p>
    <w:p>
      <w:pPr>
        <w:pStyle w:val="ListBullet"/>
      </w:pPr>
      <w:r>
        <w:t>Current API baseline menggunakan REST, resource plural/kebab-case, /api/v1 versioning, JWT Bearer authentication, standard success/error envelope, pagination, dan HTTP status conventions.</w:t>
      </w:r>
    </w:p>
    <w:p>
      <w:pPr>
        <w:pStyle w:val="ListBullet"/>
      </w:pPr>
      <w:r>
        <w:t>Current Learning Center API menyediakan /courses, /courses/{id}/enroll, /agents/me/enrollments, /courses/{id}/quiz/submit, /agents/me/certificates, dan admin course endpoints.</w:t>
      </w:r>
    </w:p>
    <w:p>
      <w:pPr>
        <w:pStyle w:val="ListBullet"/>
      </w:pPr>
      <w:r>
        <w:t>Current API does not expose a dedicated Title/Awarding resource family in the retrieved baseline evidence.</w:t>
      </w:r>
    </w:p>
    <w:p>
      <w:pPr>
        <w:pStyle w:val="ListBullet"/>
      </w:pPr>
      <w:r>
        <w:t>Current Learning Certificate endpoint remains an M04 capability and must not be repurposed as an Award Instance endpoint.</w:t>
      </w:r>
    </w:p>
    <w:p>
      <w:pPr>
        <w:pStyle w:val="Heading1"/>
      </w:pPr>
      <w:r>
        <w:t>3. API Architecture Conventions Carried Forward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Convention</w:t>
            </w:r>
          </w:p>
        </w:tc>
        <w:tc>
          <w:tcPr>
            <w:tcW w:type="dxa" w:w="2880"/>
          </w:tcPr>
          <w:p>
            <w:r>
              <w:t>Current Evidence</w:t>
            </w:r>
          </w:p>
        </w:tc>
        <w:tc>
          <w:tcPr>
            <w:tcW w:type="dxa" w:w="2880"/>
          </w:tcPr>
          <w:p>
            <w:r>
              <w:t>AEP #3 Application</w:t>
            </w:r>
          </w:p>
        </w:tc>
      </w:tr>
      <w:tr>
        <w:tc>
          <w:tcPr>
            <w:tcW w:type="dxa" w:w="2880"/>
          </w:tcPr>
          <w:p>
            <w:r>
              <w:t>Base path</w:t>
            </w:r>
          </w:p>
        </w:tc>
        <w:tc>
          <w:tcPr>
            <w:tcW w:type="dxa" w:w="2880"/>
          </w:tcPr>
          <w:p>
            <w:r>
              <w:t>/api/v1</w:t>
            </w:r>
          </w:p>
        </w:tc>
        <w:tc>
          <w:tcPr>
            <w:tcW w:type="dxa" w:w="2880"/>
          </w:tcPr>
          <w:p>
            <w:r>
              <w:t>Title/Awarding starts under the same API version unless a later breaking-change decision requires otherwise.</w:t>
            </w:r>
          </w:p>
        </w:tc>
      </w:tr>
      <w:tr>
        <w:tc>
          <w:tcPr>
            <w:tcW w:type="dxa" w:w="2880"/>
          </w:tcPr>
          <w:p>
            <w:r>
              <w:t>Resource naming</w:t>
            </w:r>
          </w:p>
        </w:tc>
        <w:tc>
          <w:tcPr>
            <w:tcW w:type="dxa" w:w="2880"/>
          </w:tcPr>
          <w:p>
            <w:r>
              <w:t>plural, kebab-case</w:t>
            </w:r>
          </w:p>
        </w:tc>
        <w:tc>
          <w:tcPr>
            <w:tcW w:type="dxa" w:w="2880"/>
          </w:tcPr>
          <w:p>
            <w:r>
              <w:t>Use resource-oriented names such as /titles, /awarding-paths or nested title resources; final path selection remains contract design.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JWT Bearer</w:t>
            </w:r>
          </w:p>
        </w:tc>
        <w:tc>
          <w:tcPr>
            <w:tcW w:type="dxa" w:w="2880"/>
          </w:tcPr>
          <w:p>
            <w:r>
              <w:t>All private Awarding operations require authenticated identity.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Role-specific RBAC</w:t>
            </w:r>
          </w:p>
        </w:tc>
        <w:tc>
          <w:tcPr>
            <w:tcW w:type="dxa" w:w="2880"/>
          </w:tcPr>
          <w:p>
            <w:r>
              <w:t>Issuer/authority operations require downstream RBAC permission mapping.</w:t>
            </w:r>
          </w:p>
        </w:tc>
      </w:tr>
      <w:tr>
        <w:tc>
          <w:tcPr>
            <w:tcW w:type="dxa" w:w="2880"/>
          </w:tcPr>
          <w:p>
            <w:r>
              <w:t>Response envelope</w:t>
            </w:r>
          </w:p>
        </w:tc>
        <w:tc>
          <w:tcPr>
            <w:tcW w:type="dxa" w:w="2880"/>
          </w:tcPr>
          <w:p>
            <w:r>
              <w:t>success/data/meta or success/error</w:t>
            </w:r>
          </w:p>
        </w:tc>
        <w:tc>
          <w:tcPr>
            <w:tcW w:type="dxa" w:w="2880"/>
          </w:tcPr>
          <w:p>
            <w:r>
              <w:t>All Title/Awarding endpoints must follow existing envelope convention.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SCREAMING_SNAKE_CASE + HTTP status</w:t>
            </w:r>
          </w:p>
        </w:tc>
        <w:tc>
          <w:tcPr>
            <w:tcW w:type="dxa" w:w="2880"/>
          </w:tcPr>
          <w:p>
            <w:r>
              <w:t>Business conflicts use 409/422 as applicable; private-resource non-disclosure may use 404.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page/per_page/sort/order</w:t>
            </w:r>
          </w:p>
        </w:tc>
        <w:tc>
          <w:tcPr>
            <w:tcW w:type="dxa" w:w="2880"/>
          </w:tcPr>
          <w:p>
            <w:r>
              <w:t>Required for list endpoints with potentially unbounded results.</w:t>
            </w:r>
          </w:p>
        </w:tc>
      </w:tr>
      <w:tr>
        <w:tc>
          <w:tcPr>
            <w:tcW w:type="dxa" w:w="2880"/>
          </w:tcPr>
          <w:p>
            <w:r>
              <w:t>Mutation validation</w:t>
            </w:r>
          </w:p>
        </w:tc>
        <w:tc>
          <w:tcPr>
            <w:tcW w:type="dxa" w:w="2880"/>
          </w:tcPr>
          <w:p>
            <w:r>
              <w:t>Server-side Zod validation</w:t>
            </w:r>
          </w:p>
        </w:tc>
        <w:tc>
          <w:tcPr>
            <w:tcW w:type="dxa" w:w="2880"/>
          </w:tcPr>
          <w:p>
            <w:r>
              <w:t>Awarding mutation endpoints must validate business payloads server-side.</w:t>
            </w:r>
          </w:p>
        </w:tc>
      </w:tr>
      <w:tr>
        <w:tc>
          <w:tcPr>
            <w:tcW w:type="dxa" w:w="2880"/>
          </w:tcPr>
          <w:p>
            <w:r>
              <w:t>Idempotency</w:t>
            </w:r>
          </w:p>
        </w:tc>
        <w:tc>
          <w:tcPr>
            <w:tcW w:type="dxa" w:w="2880"/>
          </w:tcPr>
          <w:p>
            <w:r>
              <w:t>Existing pattern for duplicate-sensitive actions</w:t>
            </w:r>
          </w:p>
        </w:tc>
        <w:tc>
          <w:tcPr>
            <w:tcW w:type="dxa" w:w="2880"/>
          </w:tcPr>
          <w:p>
            <w:r>
              <w:t>Award issuance/evaluation actions must be designed so retries cannot create unintended duplicate Awards.</w:t>
            </w:r>
          </w:p>
        </w:tc>
      </w:tr>
    </w:tbl>
    <w:p>
      <w:pPr>
        <w:pStyle w:val="Heading1"/>
      </w:pPr>
      <w:r>
        <w:t>4. Target API Capability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Capability</w:t>
            </w:r>
          </w:p>
        </w:tc>
        <w:tc>
          <w:tcPr>
            <w:tcW w:type="dxa" w:w="2160"/>
          </w:tcPr>
          <w:p>
            <w:r>
              <w:t>Semantic Purpose</w:t>
            </w:r>
          </w:p>
        </w:tc>
        <w:tc>
          <w:tcPr>
            <w:tcW w:type="dxa" w:w="2160"/>
          </w:tcPr>
          <w:p>
            <w:r>
              <w:t>Actors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Title Catalog / Definition</w:t>
            </w:r>
          </w:p>
        </w:tc>
        <w:tc>
          <w:tcPr>
            <w:tcW w:type="dxa" w:w="2160"/>
          </w:tcPr>
          <w:p>
            <w:r>
              <w:t>Read/manage Title definitions, policy/configuration and scope.</w:t>
            </w:r>
          </w:p>
        </w:tc>
        <w:tc>
          <w:tcPr>
            <w:tcW w:type="dxa" w:w="2160"/>
          </w:tcPr>
          <w:p>
            <w:r>
              <w:t>Public/Agent/Issuer/Admin depending on visibility/action.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Awarding Path</w:t>
            </w:r>
          </w:p>
        </w:tc>
        <w:tc>
          <w:tcPr>
            <w:tcW w:type="dxa" w:w="2160"/>
          </w:tcPr>
          <w:p>
            <w:r>
              <w:t>Create/read/manage qualifying paths.</w:t>
            </w:r>
          </w:p>
        </w:tc>
        <w:tc>
          <w:tcPr>
            <w:tcW w:type="dxa" w:w="2160"/>
          </w:tcPr>
          <w:p>
            <w:r>
              <w:t>Authorized issuer/authority/Admin; read subject to scope.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Path Version</w:t>
            </w:r>
          </w:p>
        </w:tc>
        <w:tc>
          <w:tcPr>
            <w:tcW w:type="dxa" w:w="2160"/>
          </w:tcPr>
          <w:p>
            <w:r>
              <w:t>Create/version/finalize/retrieve historical versions.</w:t>
            </w:r>
          </w:p>
        </w:tc>
        <w:tc>
          <w:tcPr>
            <w:tcW w:type="dxa" w:w="2160"/>
          </w:tcPr>
          <w:p>
            <w:r>
              <w:t>Authorized issuer/authority/Admin.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Rule Version</w:t>
            </w:r>
          </w:p>
        </w:tc>
        <w:tc>
          <w:tcPr>
            <w:tcW w:type="dxa" w:w="2160"/>
          </w:tcPr>
          <w:p>
            <w:r>
              <w:t>Create/manage rule versions and retrieve historical rule used by Awards.</w:t>
            </w:r>
          </w:p>
        </w:tc>
        <w:tc>
          <w:tcPr>
            <w:tcW w:type="dxa" w:w="2160"/>
          </w:tcPr>
          <w:p>
            <w:r>
              <w:t>Authorized rule authority/Admin.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Qualification</w:t>
            </w:r>
          </w:p>
        </w:tc>
        <w:tc>
          <w:tcPr>
            <w:tcW w:type="dxa" w:w="2160"/>
          </w:tcPr>
          <w:p>
            <w:r>
              <w:t>Evaluate prerequisites, evidence, assessment and conditions.</w:t>
            </w:r>
          </w:p>
        </w:tc>
        <w:tc>
          <w:tcPr>
            <w:tcW w:type="dxa" w:w="2160"/>
          </w:tcPr>
          <w:p>
            <w:r>
              <w:t>System/Agent/Issuer/Authority according to workflow.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Evidence / Outcome</w:t>
            </w:r>
          </w:p>
        </w:tc>
        <w:tc>
          <w:tcPr>
            <w:tcW w:type="dxa" w:w="2160"/>
          </w:tcPr>
          <w:p>
            <w:r>
              <w:t>Submit/read qualifying evidence or linked outcomes.</w:t>
            </w:r>
          </w:p>
        </w:tc>
        <w:tc>
          <w:tcPr>
            <w:tcW w:type="dxa" w:w="2160"/>
          </w:tcPr>
          <w:p>
            <w:r>
              <w:t>Agent/System/Partner/Issuer according to evidence source.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Award Instance</w:t>
            </w:r>
          </w:p>
        </w:tc>
        <w:tc>
          <w:tcPr>
            <w:tcW w:type="dxa" w:w="2160"/>
          </w:tcPr>
          <w:p>
            <w:r>
              <w:t>Read/create/manage Award lifecycle under governed authority.</w:t>
            </w:r>
          </w:p>
        </w:tc>
        <w:tc>
          <w:tcPr>
            <w:tcW w:type="dxa" w:w="2160"/>
          </w:tcPr>
          <w:p>
            <w:r>
              <w:t>Agent, Issuer, Authority, Admin, public profile as permitted.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Appeal / Stay</w:t>
            </w:r>
          </w:p>
        </w:tc>
        <w:tc>
          <w:tcPr>
            <w:tcW w:type="dxa" w:w="2160"/>
          </w:tcPr>
          <w:p>
            <w:r>
              <w:t>Submit appeal, review, decide, restore or remain revoked.</w:t>
            </w:r>
          </w:p>
        </w:tc>
        <w:tc>
          <w:tcPr>
            <w:tcW w:type="dxa" w:w="2160"/>
          </w:tcPr>
          <w:p>
            <w:r>
              <w:t>Award owner, Issuer, Authority/Admin.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Presentation</w:t>
            </w:r>
          </w:p>
        </w:tc>
        <w:tc>
          <w:tcPr>
            <w:tcW w:type="dxa" w:w="2160"/>
          </w:tcPr>
          <w:p>
            <w:r>
              <w:t>Select Primary/Featured and ordering.</w:t>
            </w:r>
          </w:p>
        </w:tc>
        <w:tc>
          <w:tcPr>
            <w:tcW w:type="dxa" w:w="2160"/>
          </w:tcPr>
          <w:p>
            <w:r>
              <w:t>Agent/subject for own presentation; read for viewers.</w:t>
            </w:r>
          </w:p>
        </w:tc>
        <w:tc>
          <w:tcPr>
            <w:tcW w:type="dxa" w:w="2160"/>
          </w:tcPr>
          <w:p>
            <w:r>
              <w:t>EVOLVE/NEW</w:t>
            </w:r>
          </w:p>
        </w:tc>
      </w:tr>
      <w:tr>
        <w:tc>
          <w:tcPr>
            <w:tcW w:type="dxa" w:w="2160"/>
          </w:tcPr>
          <w:p>
            <w:r>
              <w:t>Provenance / Audit</w:t>
            </w:r>
          </w:p>
        </w:tc>
        <w:tc>
          <w:tcPr>
            <w:tcW w:type="dxa" w:w="2160"/>
          </w:tcPr>
          <w:p>
            <w:r>
              <w:t>Expose explainability and historical references where permitted.</w:t>
            </w:r>
          </w:p>
        </w:tc>
        <w:tc>
          <w:tcPr>
            <w:tcW w:type="dxa" w:w="2160"/>
          </w:tcPr>
          <w:p>
            <w:r>
              <w:t>Agent/Issuer/Authority/Admin; restricted detail by scope.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Learning Integration</w:t>
            </w:r>
          </w:p>
        </w:tc>
        <w:tc>
          <w:tcPr>
            <w:tcW w:type="dxa" w:w="2160"/>
          </w:tcPr>
          <w:p>
            <w:r>
              <w:t>Consume learning completion, assessment, LP/evidence outcomes.</w:t>
            </w:r>
          </w:p>
        </w:tc>
        <w:tc>
          <w:tcPr>
            <w:tcW w:type="dxa" w:w="2160"/>
          </w:tcPr>
          <w:p>
            <w:r>
              <w:t>Awarding service consumes Learning outcomes; Learning remains separate authority.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</w:tr>
    </w:tbl>
    <w:p>
      <w:pPr>
        <w:pStyle w:val="Heading1"/>
      </w:pPr>
      <w:r>
        <w:t>5. Conceptual Resource Model</w:t>
      </w:r>
    </w:p>
    <w:p>
      <w:r>
        <w:t>/titles</w:t>
      </w:r>
    </w:p>
    <w:p>
      <w:r>
        <w:t>/titles/{title_id}</w:t>
      </w:r>
    </w:p>
    <w:p>
      <w:r>
        <w:t>/titles/{title_id}/awarding-paths</w:t>
      </w:r>
    </w:p>
    <w:p>
      <w:r>
        <w:t>/awarding-paths/{path_id}/versions</w:t>
      </w:r>
    </w:p>
    <w:p>
      <w:r>
        <w:t>/awarding-path-versions/{path_version_id}</w:t>
      </w:r>
    </w:p>
    <w:p>
      <w:r>
        <w:t>/awarding-rule-versions/{rule_version_id}</w:t>
      </w:r>
    </w:p>
    <w:p>
      <w:r>
        <w:t>/qualification-evaluations</w:t>
      </w:r>
    </w:p>
    <w:p>
      <w:r>
        <w:t>/qualification-evaluations/{evaluation_id}</w:t>
      </w:r>
    </w:p>
    <w:p>
      <w:r>
        <w:t>/awards</w:t>
      </w:r>
    </w:p>
    <w:p>
      <w:r>
        <w:t>/awards/{award_id}</w:t>
      </w:r>
    </w:p>
    <w:p>
      <w:r>
        <w:t>/awards/{award_id}/lifecycle</w:t>
      </w:r>
    </w:p>
    <w:p>
      <w:r>
        <w:t>/awards/{award_id}/appeals</w:t>
      </w:r>
    </w:p>
    <w:p>
      <w:r>
        <w:t>/awards/{award_id}/provenance</w:t>
      </w:r>
    </w:p>
    <w:p>
      <w:r>
        <w:t>/agents/me/awards</w:t>
      </w:r>
    </w:p>
    <w:p>
      <w:r>
        <w:t>/agents/me/awards/presentation</w:t>
      </w:r>
    </w:p>
    <w:p>
      <w:r>
        <w:t>/agents/{agent_id}/awards</w:t>
      </w:r>
    </w:p>
    <w:p>
      <w:r>
        <w:t>These paths are conceptual resource candidates, not approved final endpoint names. They demonstrate the required capability separation. Existing /agents/me/certificates remains an M04 Certificate resource and is not renamed to /awards.</w:t>
      </w:r>
    </w:p>
    <w:p>
      <w:pPr>
        <w:pStyle w:val="Heading1"/>
      </w:pPr>
      <w:r>
        <w:t>6. Award Issuance / Qualification Contract Boundary</w:t>
      </w:r>
    </w:p>
    <w:p>
      <w:pPr>
        <w:jc w:val="center"/>
      </w:pPr>
      <w:r>
        <w:t>Learning / Assessment / Partner Outcome</w:t>
      </w:r>
    </w:p>
    <w:p>
      <w:pPr>
        <w:jc w:val="center"/>
      </w:pPr>
      <w:r>
        <w:t xml:space="preserve">            ↓</w:t>
      </w:r>
    </w:p>
    <w:p>
      <w:pPr>
        <w:jc w:val="center"/>
      </w:pPr>
      <w:r>
        <w:t xml:space="preserve">     Evidence / Outcome</w:t>
      </w:r>
    </w:p>
    <w:p>
      <w:pPr>
        <w:jc w:val="center"/>
      </w:pPr>
      <w:r>
        <w:t xml:space="preserve">            ↓</w:t>
      </w:r>
    </w:p>
    <w:p>
      <w:pPr>
        <w:jc w:val="center"/>
      </w:pPr>
      <w:r>
        <w:t xml:space="preserve">  Awarding Qualification Request</w:t>
      </w:r>
    </w:p>
    <w:p>
      <w:pPr>
        <w:jc w:val="center"/>
      </w:pPr>
      <w:r>
        <w:t xml:space="preserve">            ↓</w:t>
      </w:r>
    </w:p>
    <w:p>
      <w:pPr>
        <w:jc w:val="center"/>
      </w:pPr>
      <w:r>
        <w:t>Path Version + Rule Version</w:t>
      </w:r>
    </w:p>
    <w:p>
      <w:pPr>
        <w:jc w:val="center"/>
      </w:pPr>
      <w:r>
        <w:t xml:space="preserve">            ↓</w:t>
      </w:r>
    </w:p>
    <w:p>
      <w:pPr>
        <w:jc w:val="center"/>
      </w:pPr>
      <w:r>
        <w:t xml:space="preserve">      Qualification Result</w:t>
      </w:r>
    </w:p>
    <w:p>
      <w:pPr>
        <w:jc w:val="center"/>
      </w:pPr>
      <w:r>
        <w:t xml:space="preserve">            ↓</w:t>
      </w:r>
    </w:p>
    <w:p>
      <w:pPr>
        <w:jc w:val="center"/>
      </w:pPr>
      <w:r>
        <w:t xml:space="preserve">       Award Instance</w:t>
      </w:r>
    </w:p>
    <w:p>
      <w:r>
        <w:t>The API must not allow a client to arbitrarily declare that a Title has been earned. Client requests may submit claims/evidence or initiate evaluation, but Award creation remains governed by server-side qualification logic and authority.</w:t>
      </w:r>
    </w:p>
    <w:p>
      <w:pPr>
        <w:pStyle w:val="Heading1"/>
      </w:pPr>
      <w:r>
        <w:t>7. Award Instance Contract Requirements</w:t>
      </w:r>
    </w:p>
    <w:p>
      <w:pPr>
        <w:pStyle w:val="ListBullet"/>
      </w:pPr>
      <w:r>
        <w:t>Expose stable Award Instance identity independent of Certificate identity.</w:t>
      </w:r>
    </w:p>
    <w:p>
      <w:pPr>
        <w:pStyle w:val="ListBullet"/>
      </w:pPr>
      <w:r>
        <w:t>Return historical Title identity plus Path Version and Rule Version references sufficient for provenance.</w:t>
      </w:r>
    </w:p>
    <w:p>
      <w:pPr>
        <w:pStyle w:val="ListBullet"/>
      </w:pPr>
      <w:r>
        <w:t>Return award timestamp and applicable validity/lifecycle information.</w:t>
      </w:r>
    </w:p>
    <w:p>
      <w:pPr>
        <w:pStyle w:val="ListBullet"/>
      </w:pPr>
      <w:r>
        <w:t>Expose issuer/scope according to authorization.</w:t>
      </w:r>
    </w:p>
    <w:p>
      <w:pPr>
        <w:pStyle w:val="ListBullet"/>
      </w:pPr>
      <w:r>
        <w:t>Expose evidence/proof references where policy permits.</w:t>
      </w:r>
    </w:p>
    <w:p>
      <w:pPr>
        <w:pStyle w:val="ListBullet"/>
      </w:pPr>
      <w:r>
        <w:t>Do not allow ordinary client mutation to overwrite historical Path/Rule provenance.</w:t>
      </w:r>
    </w:p>
    <w:p>
      <w:pPr>
        <w:pStyle w:val="ListBullet"/>
      </w:pPr>
      <w:r>
        <w:t>Lifecycle actions must be explicit actions rather than generic arbitrary status updates.</w:t>
      </w:r>
    </w:p>
    <w:p>
      <w:pPr>
        <w:pStyle w:val="ListBullet"/>
      </w:pPr>
      <w:r>
        <w:t>Restoration must operate on the existing Award Instance.</w:t>
      </w:r>
    </w:p>
    <w:p>
      <w:pPr>
        <w:pStyle w:val="ListBullet"/>
      </w:pPr>
      <w:r>
        <w:t>Presentation changes must not mutate Award ownership/provenance.</w:t>
      </w:r>
    </w:p>
    <w:p>
      <w:pPr>
        <w:pStyle w:val="Heading1"/>
      </w:pPr>
      <w:r>
        <w:t>8. Lifecycle API Boundary</w:t>
      </w:r>
    </w:p>
    <w:p>
      <w:pPr>
        <w:pStyle w:val="ListBullet"/>
      </w:pPr>
      <w:r>
        <w:t>Revocation should be an explicit governed action with reason and authorization.</w:t>
      </w:r>
    </w:p>
    <w:p>
      <w:pPr>
        <w:pStyle w:val="ListBullet"/>
      </w:pPr>
      <w:r>
        <w:t>Appeal submission should be a distinct resource/action and deadline should derive from revocation timestamp.</w:t>
      </w:r>
    </w:p>
    <w:p>
      <w:pPr>
        <w:pStyle w:val="ListBullet"/>
      </w:pPr>
      <w:r>
        <w:t>Stay behavior must be represented through governed lifecycle/effective-state semantics, not notification timestamps.</w:t>
      </w:r>
    </w:p>
    <w:p>
      <w:pPr>
        <w:pStyle w:val="ListBullet"/>
      </w:pPr>
      <w:r>
        <w:t>Successful appeal restoration returns the same Award Instance identity.</w:t>
      </w:r>
    </w:p>
    <w:p>
      <w:pPr>
        <w:pStyle w:val="ListBullet"/>
      </w:pPr>
      <w:r>
        <w:t>Expiration is distinct from revocation.</w:t>
      </w:r>
    </w:p>
    <w:p>
      <w:pPr>
        <w:pStyle w:val="ListBullet"/>
      </w:pPr>
      <w:r>
        <w:t>History/provenance read capability must remain available after lifecycle transitions.</w:t>
      </w:r>
    </w:p>
    <w:p>
      <w:pPr>
        <w:pStyle w:val="Heading1"/>
      </w:pPr>
      <w:r>
        <w:t>9. Presentation API Boundary</w:t>
      </w:r>
    </w:p>
    <w:p>
      <w:pPr>
        <w:pStyle w:val="ListBullet"/>
      </w:pPr>
      <w:r>
        <w:t>Primary selection: at most one displayed Title for the applicable presentation scope.</w:t>
      </w:r>
    </w:p>
    <w:p>
      <w:pPr>
        <w:pStyle w:val="ListBullet"/>
      </w:pPr>
      <w:r>
        <w:t>Featured selection: at most three displayed Titles.</w:t>
      </w:r>
    </w:p>
    <w:p>
      <w:pPr>
        <w:pStyle w:val="ListBullet"/>
      </w:pPr>
      <w:r>
        <w:t>Featured ordering belongs to the agent/subject presentation preference.</w:t>
      </w:r>
    </w:p>
    <w:p>
      <w:pPr>
        <w:pStyle w:val="ListBullet"/>
      </w:pPr>
      <w:r>
        <w:t>Removing a presentation selection must not delete the Award.</w:t>
      </w:r>
    </w:p>
    <w:p>
      <w:pPr>
        <w:pStyle w:val="ListBullet"/>
      </w:pPr>
      <w:r>
        <w:t>Expired Awards may remain Featured where policy permits; Revoked Awards cannot remain Featured.</w:t>
      </w:r>
    </w:p>
    <w:p>
      <w:pPr>
        <w:pStyle w:val="ListBullet"/>
      </w:pPr>
      <w:r>
        <w:t>Representative Award selection must be deterministic when multiple Award Instances exist and policy permits representation.</w:t>
      </w:r>
    </w:p>
    <w:p>
      <w:pPr>
        <w:pStyle w:val="Heading1"/>
      </w:pPr>
      <w:r>
        <w:t>10. Learning → Awarding Integration Contract</w:t>
      </w:r>
    </w:p>
    <w:p>
      <w:r>
        <w:t>The API boundary must preserve the AEP #2 decision that Learning is an evidence/outcome source and Awarding is the authority for Title qualification. Existing Learning endpoints remain responsible for Learning operations such as course enrollment, quiz submission and certificate retrieval.</w:t>
      </w:r>
    </w:p>
    <w:p>
      <w:pPr>
        <w:pStyle w:val="ListBullet"/>
      </w:pPr>
      <w:r>
        <w:t>Learning completion may be consumed as evidence where an Awarding Path permits it.</w:t>
      </w:r>
    </w:p>
    <w:p>
      <w:pPr>
        <w:pStyle w:val="ListBullet"/>
      </w:pPr>
      <w:r>
        <w:t>Assessment result may be consumed as qualification evidence.</w:t>
      </w:r>
    </w:p>
    <w:p>
      <w:pPr>
        <w:pStyle w:val="ListBullet"/>
      </w:pPr>
      <w:r>
        <w:t>Learning Points may be consumed as a configured qualification metric.</w:t>
      </w:r>
    </w:p>
    <w:p>
      <w:pPr>
        <w:pStyle w:val="ListBullet"/>
      </w:pPr>
      <w:r>
        <w:t>Certificate may be evidence/outcome but remains a distinct M04 credential.</w:t>
      </w:r>
    </w:p>
    <w:p>
      <w:pPr>
        <w:pStyle w:val="ListBullet"/>
      </w:pPr>
      <w:r>
        <w:t>Learning API must not directly create an M15 Award Instance unless the integration contract explicitly delegates a governed service action; even then qualification authority remains Awarding.</w:t>
      </w:r>
    </w:p>
    <w:p>
      <w:pPr>
        <w:pStyle w:val="Heading1"/>
      </w:pPr>
      <w:r>
        <w:t>11. Authorization Boundary</w:t>
      </w:r>
    </w:p>
    <w:p>
      <w:r>
        <w:t>The API contract must be compatible with the existing authentication and RBAC middleware sequence. Exact Title/Awarding permission IDs are intentionally deferred to the RBAC impact stage.</w:t>
      </w:r>
    </w:p>
    <w:p>
      <w:pPr>
        <w:pStyle w:val="ListBullet"/>
      </w:pPr>
      <w:r>
        <w:t>Public read is only allowed where Title/Award visibility policy permits.</w:t>
      </w:r>
    </w:p>
    <w:p>
      <w:pPr>
        <w:pStyle w:val="ListBullet"/>
      </w:pPr>
      <w:r>
        <w:t>Agent may manage own presentation and submit eligible evidence/appeal actions.</w:t>
      </w:r>
    </w:p>
    <w:p>
      <w:pPr>
        <w:pStyle w:val="ListBullet"/>
      </w:pPr>
      <w:r>
        <w:t>Issuer/Authority may perform governed awarding/lifecycle actions within scope.</w:t>
      </w:r>
    </w:p>
    <w:p>
      <w:pPr>
        <w:pStyle w:val="ListBullet"/>
      </w:pPr>
      <w:r>
        <w:t>Admin/RumahAgen escalation may perform platform-governed operations.</w:t>
      </w:r>
    </w:p>
    <w:p>
      <w:pPr>
        <w:pStyle w:val="ListBullet"/>
      </w:pPr>
      <w:r>
        <w:t>No API role is allowed to bypass Title authority/scope rules.</w:t>
      </w:r>
    </w:p>
    <w:p>
      <w:pPr>
        <w:pStyle w:val="Heading1"/>
      </w:pPr>
      <w:r>
        <w:t>12. Idempotency and Duplicate-Award Protection</w:t>
      </w:r>
    </w:p>
    <w:p>
      <w:pPr>
        <w:pStyle w:val="ListBullet"/>
      </w:pPr>
      <w:r>
        <w:t>Qualification retries must not create duplicate Award Instances for the same qualifying event when the repeat/renewal policy does not permit duplication.</w:t>
      </w:r>
    </w:p>
    <w:p>
      <w:pPr>
        <w:pStyle w:val="ListBullet"/>
      </w:pPr>
      <w:r>
        <w:t>Award creation must be safe against client retry/timeouts.</w:t>
      </w:r>
    </w:p>
    <w:p>
      <w:pPr>
        <w:pStyle w:val="ListBullet"/>
      </w:pPr>
      <w:r>
        <w:t>Appeal submission retry must not create multiple active appeals for the same applicable revocation unless policy explicitly permits it.</w:t>
      </w:r>
    </w:p>
    <w:p>
      <w:pPr>
        <w:pStyle w:val="ListBullet"/>
      </w:pPr>
      <w:r>
        <w:t>Presentation update retry must be idempotent.</w:t>
      </w:r>
    </w:p>
    <w:p>
      <w:pPr>
        <w:pStyle w:val="Heading1"/>
      </w:pPr>
      <w:r>
        <w:t>13. API Error Semantics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Expected HTTP Class</w:t>
            </w:r>
          </w:p>
        </w:tc>
        <w:tc>
          <w:tcPr>
            <w:tcW w:type="dxa" w:w="2880"/>
          </w:tcPr>
          <w:p>
            <w:r>
              <w:t>Semantic Error Example</w:t>
            </w:r>
          </w:p>
        </w:tc>
      </w:tr>
      <w:tr>
        <w:tc>
          <w:tcPr>
            <w:tcW w:type="dxa" w:w="2880"/>
          </w:tcPr>
          <w:p>
            <w:r>
              <w:t>Unauthenticated private Award access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AWARD_AUTHENTICATION_REQUIRED</w:t>
            </w:r>
          </w:p>
        </w:tc>
      </w:tr>
      <w:tr>
        <w:tc>
          <w:tcPr>
            <w:tcW w:type="dxa" w:w="2880"/>
          </w:tcPr>
          <w:p>
            <w:r>
              <w:t>Authenticated but outside authority/scope</w:t>
            </w:r>
          </w:p>
        </w:tc>
        <w:tc>
          <w:tcPr>
            <w:tcW w:type="dxa" w:w="2880"/>
          </w:tcPr>
          <w:p>
            <w:r>
              <w:t>403 or masked 404</w:t>
            </w:r>
          </w:p>
        </w:tc>
        <w:tc>
          <w:tcPr>
            <w:tcW w:type="dxa" w:w="2880"/>
          </w:tcPr>
          <w:p>
            <w:r>
              <w:t>AWARD_FORBIDDEN / AWARD_NOT_FOUND</w:t>
            </w:r>
          </w:p>
        </w:tc>
      </w:tr>
      <w:tr>
        <w:tc>
          <w:tcPr>
            <w:tcW w:type="dxa" w:w="2880"/>
          </w:tcPr>
          <w:p>
            <w:r>
              <w:t>Invalid qualification request format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QUALIFICATION_REQUEST_INVALID</w:t>
            </w:r>
          </w:p>
        </w:tc>
      </w:tr>
      <w:tr>
        <w:tc>
          <w:tcPr>
            <w:tcW w:type="dxa" w:w="2880"/>
          </w:tcPr>
          <w:p>
            <w:r>
              <w:t>Business rule prevents qualification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QUALIFICATION_NOT_SATISFIED</w:t>
            </w:r>
          </w:p>
        </w:tc>
      </w:tr>
      <w:tr>
        <w:tc>
          <w:tcPr>
            <w:tcW w:type="dxa" w:w="2880"/>
          </w:tcPr>
          <w:p>
            <w:r>
              <w:t>Duplicate/conflicting issuance request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AWARD_CONFLICT</w:t>
            </w:r>
          </w:p>
        </w:tc>
      </w:tr>
      <w:tr>
        <w:tc>
          <w:tcPr>
            <w:tcW w:type="dxa" w:w="2880"/>
          </w:tcPr>
          <w:p>
            <w:r>
              <w:t>Appeal window expired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APPEAL_WINDOW_CLOSED</w:t>
            </w:r>
          </w:p>
        </w:tc>
      </w:tr>
      <w:tr>
        <w:tc>
          <w:tcPr>
            <w:tcW w:type="dxa" w:w="2880"/>
          </w:tcPr>
          <w:p>
            <w:r>
              <w:t>Invalid lifecycle transition</w:t>
            </w:r>
          </w:p>
        </w:tc>
        <w:tc>
          <w:tcPr>
            <w:tcW w:type="dxa" w:w="2880"/>
          </w:tcPr>
          <w:p>
            <w:r>
              <w:t>409/422</w:t>
            </w:r>
          </w:p>
        </w:tc>
        <w:tc>
          <w:tcPr>
            <w:tcW w:type="dxa" w:w="2880"/>
          </w:tcPr>
          <w:p>
            <w:r>
              <w:t>AWARD_INVALID_STATE_TRANSITION</w:t>
            </w:r>
          </w:p>
        </w:tc>
      </w:tr>
      <w:tr>
        <w:tc>
          <w:tcPr>
            <w:tcW w:type="dxa" w:w="2880"/>
          </w:tcPr>
          <w:p>
            <w:r>
              <w:t>Resource does not exist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AWARD_NOT_FOUND</w:t>
            </w:r>
          </w:p>
        </w:tc>
      </w:tr>
    </w:tbl>
    <w:p>
      <w:pPr>
        <w:pStyle w:val="Heading1"/>
      </w:pPr>
      <w:r>
        <w:t>14. Deferred API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Why Deferred</w:t>
            </w:r>
          </w:p>
        </w:tc>
        <w:tc>
          <w:tcPr>
            <w:tcW w:type="dxa" w:w="2160"/>
          </w:tcPr>
          <w:p>
            <w:r>
              <w:t>Next Stage</w:t>
            </w:r>
          </w:p>
        </w:tc>
      </w:tr>
      <w:tr>
        <w:tc>
          <w:tcPr>
            <w:tcW w:type="dxa" w:w="2160"/>
          </w:tcPr>
          <w:p>
            <w:r>
              <w:t>Final endpoint paths</w:t>
            </w:r>
          </w:p>
        </w:tc>
        <w:tc>
          <w:tcPr>
            <w:tcW w:type="dxa" w:w="2160"/>
          </w:tcPr>
          <w:p>
            <w:r>
              <w:t>DEFERRED</w:t>
            </w:r>
          </w:p>
        </w:tc>
        <w:tc>
          <w:tcPr>
            <w:tcW w:type="dxa" w:w="2160"/>
          </w:tcPr>
          <w:p>
            <w:r>
              <w:t>Conceptual resources are sufficient for impact; final naming can be harmonized with API baseline.</w:t>
            </w:r>
          </w:p>
        </w:tc>
        <w:tc>
          <w:tcPr>
            <w:tcW w:type="dxa" w:w="2160"/>
          </w:tcPr>
          <w:p>
            <w:r>
              <w:t>API final contract / implementation design</w:t>
            </w:r>
          </w:p>
        </w:tc>
      </w:tr>
      <w:tr>
        <w:tc>
          <w:tcPr>
            <w:tcW w:type="dxa" w:w="2160"/>
          </w:tcPr>
          <w:p>
            <w:r>
              <w:t>Exact request/response JSON</w:t>
            </w:r>
          </w:p>
        </w:tc>
        <w:tc>
          <w:tcPr>
            <w:tcW w:type="dxa" w:w="2160"/>
          </w:tcPr>
          <w:p>
            <w:r>
              <w:t>DEFERRED</w:t>
            </w:r>
          </w:p>
        </w:tc>
        <w:tc>
          <w:tcPr>
            <w:tcW w:type="dxa" w:w="2160"/>
          </w:tcPr>
          <w:p>
            <w:r>
              <w:t>Depends on final schema and RBAC semantics.</w:t>
            </w:r>
          </w:p>
        </w:tc>
        <w:tc>
          <w:tcPr>
            <w:tcW w:type="dxa" w:w="2160"/>
          </w:tcPr>
          <w:p>
            <w:r>
              <w:t>API contract finalization</w:t>
            </w:r>
          </w:p>
        </w:tc>
      </w:tr>
      <w:tr>
        <w:tc>
          <w:tcPr>
            <w:tcW w:type="dxa" w:w="2160"/>
          </w:tcPr>
          <w:p>
            <w:r>
              <w:t>Sync vs async qualification execution</w:t>
            </w:r>
          </w:p>
        </w:tc>
        <w:tc>
          <w:tcPr>
            <w:tcW w:type="dxa" w:w="2160"/>
          </w:tcPr>
          <w:p>
            <w:r>
              <w:t>OPEN DESIGN, NON-BLOCKING</w:t>
            </w:r>
          </w:p>
        </w:tc>
        <w:tc>
          <w:tcPr>
            <w:tcW w:type="dxa" w:w="2160"/>
          </w:tcPr>
          <w:p>
            <w:r>
              <w:t>Business rules define outcome semantics, not transport.</w:t>
            </w:r>
          </w:p>
        </w:tc>
        <w:tc>
          <w:tcPr>
            <w:tcW w:type="dxa" w:w="2160"/>
          </w:tcPr>
          <w:p>
            <w:r>
              <w:t>Engineering / API implementation design</w:t>
            </w:r>
          </w:p>
        </w:tc>
      </w:tr>
      <w:tr>
        <w:tc>
          <w:tcPr>
            <w:tcW w:type="dxa" w:w="2160"/>
          </w:tcPr>
          <w:p>
            <w:r>
              <w:t>Idempotency key format</w:t>
            </w:r>
          </w:p>
        </w:tc>
        <w:tc>
          <w:tcPr>
            <w:tcW w:type="dxa" w:w="2160"/>
          </w:tcPr>
          <w:p>
            <w:r>
              <w:t>DEFERRED</w:t>
            </w:r>
          </w:p>
        </w:tc>
        <w:tc>
          <w:tcPr>
            <w:tcW w:type="dxa" w:w="2160"/>
          </w:tcPr>
          <w:p>
            <w:r>
              <w:t>Current architecture requires duplicate protection but does not mandate a single key format for Awarding.</w:t>
            </w:r>
          </w:p>
        </w:tc>
        <w:tc>
          <w:tcPr>
            <w:tcW w:type="dxa" w:w="2160"/>
          </w:tcPr>
          <w:p>
            <w:r>
              <w:t>Implementation design</w:t>
            </w:r>
          </w:p>
        </w:tc>
      </w:tr>
      <w:tr>
        <w:tc>
          <w:tcPr>
            <w:tcW w:type="dxa" w:w="2160"/>
          </w:tcPr>
          <w:p>
            <w:r>
              <w:t>Webhook/event bus mechanism</w:t>
            </w:r>
          </w:p>
        </w:tc>
        <w:tc>
          <w:tcPr>
            <w:tcW w:type="dxa" w:w="2160"/>
          </w:tcPr>
          <w:p>
            <w:r>
              <w:t>DEFERRED</w:t>
            </w:r>
          </w:p>
        </w:tc>
        <w:tc>
          <w:tcPr>
            <w:tcW w:type="dxa" w:w="2160"/>
          </w:tcPr>
          <w:p>
            <w:r>
              <w:t>No governing decision requires a transport mechanism.</w:t>
            </w:r>
          </w:p>
        </w:tc>
        <w:tc>
          <w:tcPr>
            <w:tcW w:type="dxa" w:w="2160"/>
          </w:tcPr>
          <w:p>
            <w:r>
              <w:t>Implementation design</w:t>
            </w:r>
          </w:p>
        </w:tc>
      </w:tr>
      <w:tr>
        <w:tc>
          <w:tcPr>
            <w:tcW w:type="dxa" w:w="2160"/>
          </w:tcPr>
          <w:p>
            <w:r>
              <w:t>Final permission IDs</w:t>
            </w:r>
          </w:p>
        </w:tc>
        <w:tc>
          <w:tcPr>
            <w:tcW w:type="dxa" w:w="2160"/>
          </w:tcPr>
          <w:p>
            <w:r>
              <w:t>DEFERRED</w:t>
            </w:r>
          </w:p>
        </w:tc>
        <w:tc>
          <w:tcPr>
            <w:tcW w:type="dxa" w:w="2160"/>
          </w:tcPr>
          <w:p>
            <w:r>
              <w:t>RBAC is next impact stage.</w:t>
            </w:r>
          </w:p>
        </w:tc>
        <w:tc>
          <w:tcPr>
            <w:tcW w:type="dxa" w:w="2160"/>
          </w:tcPr>
          <w:p>
            <w:r>
              <w:t>AEP3 Impact 06</w:t>
            </w:r>
          </w:p>
        </w:tc>
      </w:tr>
      <w:tr>
        <w:tc>
          <w:tcPr>
            <w:tcW w:type="dxa" w:w="2160"/>
          </w:tcPr>
          <w:p>
            <w:r>
              <w:t>Authority/Organization API scope details</w:t>
            </w:r>
          </w:p>
        </w:tc>
        <w:tc>
          <w:tcPr>
            <w:tcW w:type="dxa" w:w="2160"/>
          </w:tcPr>
          <w:p>
            <w:r>
              <w:t>OPEN DEPENDENCY</w:t>
            </w:r>
          </w:p>
        </w:tc>
        <w:tc>
          <w:tcPr>
            <w:tcW w:type="dxa" w:w="2160"/>
          </w:tcPr>
          <w:p>
            <w:r>
              <w:t>Exact cardinality/governance remains unresolved.</w:t>
            </w:r>
          </w:p>
        </w:tc>
        <w:tc>
          <w:tcPr>
            <w:tcW w:type="dxa" w:w="2160"/>
          </w:tcPr>
          <w:p>
            <w:r>
              <w:t>AEP3-OD-02 / RBAC stage</w:t>
            </w:r>
          </w:p>
        </w:tc>
      </w:tr>
    </w:tbl>
    <w:p>
      <w:pPr>
        <w:pStyle w:val="Heading1"/>
      </w:pPr>
      <w:r>
        <w:t>15. Open Decision Assessment</w:t>
      </w:r>
    </w:p>
    <w:p>
      <w:r>
        <w:t>No new formal Open Decision is required to complete Impact 05. The remaining items are contract/implementation details or already-recorded controlled dependencies. In particular, sync-versus-async execution is not elevated to governance because the current sources do not require a specific transport model.</w:t>
      </w:r>
    </w:p>
    <w:p>
      <w:pPr>
        <w:pStyle w:val="Heading1"/>
      </w:pPr>
      <w:r>
        <w:t>16. API Gate Result</w:t>
      </w:r>
    </w:p>
    <w:p>
      <w:r>
        <w:rPr>
          <w:b/>
        </w:rPr>
        <w:t>RESULT: PASS WITH CONTROLLED DEFERMENTS</w:t>
      </w:r>
    </w:p>
    <w:p>
      <w:r>
        <w:t>The semantic API capability boundary is sufficiently defined to proceed to AEP3-Impact-06 — RBAC / Permission Impact. The current API baseline remains compatible at the architectural pattern level: REST, /api/v1, JWT, standard response envelope, RBAC middleware and server-side validation. Exact final endpoint and permission contracts remain downstream.</w:t>
      </w:r>
    </w:p>
    <w:p>
      <w:pPr>
        <w:pStyle w:val="Heading1"/>
      </w:pPr>
      <w:r>
        <w:t>17. Artifact Control</w:t>
      </w:r>
    </w:p>
    <w:p>
      <w:r>
        <w:t>Artifact ID: AEP3-Impact-05</w:t>
      </w:r>
    </w:p>
    <w:p>
      <w:r>
        <w:t>AEP: #3 — Title / Awarding Business Rules</w:t>
      </w:r>
    </w:p>
    <w:p>
      <w:r>
        <w:t>Status: COMPLETED</w:t>
      </w:r>
    </w:p>
    <w:p>
      <w:r>
        <w:t>Implementation authorization: NOT GRANTED</w:t>
      </w:r>
    </w:p>
    <w:p>
      <w:r>
        <w:t>Next step: AEP3-Impact-06 — RBAC / Permission Impact Specification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