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Impact 09 — Engineering / Service Boundary Impact Specification</w:t>
      </w:r>
    </w:p>
    <w:p>
      <w:pPr>
        <w:jc w:val="center"/>
      </w:pPr>
      <w:r>
        <w:rPr>
          <w:i/>
        </w:rPr>
        <w:t>Version 1.0 | Status: COMPLETED — DOMAIN/SERVICE DESIGN, IMPLEMENTATION NOT AUTHORIZED</w:t>
      </w:r>
    </w:p>
    <w:p>
      <w:pPr>
        <w:pStyle w:val="Heading1"/>
      </w:pPr>
      <w:r>
        <w:t>1. Purpose</w:t>
      </w:r>
    </w:p>
    <w:p>
      <w:r>
        <w:t>Menetapkan engineering/service boundaries untuk Title/Awarding tanpa langsung mengikat implementation ke framework, database transaction code, queue vendor, atau endpoint tertentu. Fokusnya adalah ownership of business logic, transaction boundaries, cross-domain contracts, idempotency, audit and failure handling.</w:t>
      </w:r>
    </w:p>
    <w:p>
      <w:pPr>
        <w:pStyle w:val="Heading1"/>
      </w:pPr>
      <w:r>
        <w:t>2. Target Domain Boundary</w:t>
      </w:r>
    </w:p>
    <w:p>
      <w:pPr>
        <w:jc w:val="center"/>
      </w:pPr>
      <w:r>
        <w:t>Title / Awarding Domain</w:t>
      </w:r>
    </w:p>
    <w:p>
      <w:pPr>
        <w:jc w:val="center"/>
      </w:pPr>
      <w:r>
        <w:t xml:space="preserve"> ├─ Title Definition</w:t>
      </w:r>
    </w:p>
    <w:p>
      <w:pPr>
        <w:jc w:val="center"/>
      </w:pPr>
      <w:r>
        <w:t xml:space="preserve"> ├─ Awarding Path</w:t>
      </w:r>
    </w:p>
    <w:p>
      <w:pPr>
        <w:jc w:val="center"/>
      </w:pPr>
      <w:r>
        <w:t xml:space="preserve"> ├─ Path Version</w:t>
      </w:r>
    </w:p>
    <w:p>
      <w:pPr>
        <w:jc w:val="center"/>
      </w:pPr>
      <w:r>
        <w:t xml:space="preserve"> ├─ Rule Version</w:t>
      </w:r>
    </w:p>
    <w:p>
      <w:pPr>
        <w:jc w:val="center"/>
      </w:pPr>
      <w:r>
        <w:t xml:space="preserve"> ├─ Qualification / Evaluation</w:t>
      </w:r>
    </w:p>
    <w:p>
      <w:pPr>
        <w:jc w:val="center"/>
      </w:pPr>
      <w:r>
        <w:t xml:space="preserve"> ├─ Award Instance</w:t>
      </w:r>
    </w:p>
    <w:p>
      <w:pPr>
        <w:jc w:val="center"/>
      </w:pPr>
      <w:r>
        <w:t xml:space="preserve"> ├─ Lifecycle / Appeal</w:t>
      </w:r>
    </w:p>
    <w:p>
      <w:pPr>
        <w:jc w:val="center"/>
      </w:pPr>
      <w:r>
        <w:t xml:space="preserve"> ├─ Presentation</w:t>
      </w:r>
    </w:p>
    <w:p>
      <w:pPr>
        <w:jc w:val="center"/>
      </w:pPr>
      <w:r>
        <w:t xml:space="preserve"> └─ Provenance / Audit</w:t>
      </w:r>
    </w:p>
    <w:p>
      <w:pPr>
        <w:jc w:val="center"/>
      </w:pPr>
      <w:r/>
    </w:p>
    <w:p>
      <w:pPr>
        <w:jc w:val="center"/>
      </w:pPr>
      <w:r>
        <w:t>External / Adjacent Domains</w:t>
      </w:r>
    </w:p>
    <w:p>
      <w:pPr>
        <w:jc w:val="center"/>
      </w:pPr>
      <w:r>
        <w:t xml:space="preserve"> ├─ Learning</w:t>
      </w:r>
    </w:p>
    <w:p>
      <w:pPr>
        <w:jc w:val="center"/>
      </w:pPr>
      <w:r>
        <w:t xml:space="preserve"> ├─ Partnership Learning</w:t>
      </w:r>
    </w:p>
    <w:p>
      <w:pPr>
        <w:jc w:val="center"/>
      </w:pPr>
      <w:r>
        <w:t xml:space="preserve"> ├─ Commercial / Payment</w:t>
      </w:r>
    </w:p>
    <w:p>
      <w:pPr>
        <w:jc w:val="center"/>
      </w:pPr>
      <w:r>
        <w:t xml:space="preserve"> ├─ Agent Profile</w:t>
      </w:r>
    </w:p>
    <w:p>
      <w:pPr>
        <w:jc w:val="center"/>
      </w:pPr>
      <w:r>
        <w:t xml:space="preserve"> └─ Identity / RBAC</w:t>
      </w:r>
    </w:p>
    <w:p>
      <w:pPr>
        <w:pStyle w:val="Heading1"/>
      </w:pPr>
      <w:r>
        <w:t>3. Service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Business Logic Owner</w:t>
            </w:r>
          </w:p>
        </w:tc>
        <w:tc>
          <w:tcPr>
            <w:tcW w:type="dxa" w:w="2160"/>
          </w:tcPr>
          <w:p>
            <w:r>
              <w:t>Consumes</w:t>
            </w:r>
          </w:p>
        </w:tc>
        <w:tc>
          <w:tcPr>
            <w:tcW w:type="dxa" w:w="2160"/>
          </w:tcPr>
          <w:p>
            <w:r>
              <w:t>Must Not Own</w:t>
            </w:r>
          </w:p>
        </w:tc>
      </w:tr>
      <w:tr>
        <w:tc>
          <w:tcPr>
            <w:tcW w:type="dxa" w:w="2160"/>
          </w:tcPr>
          <w:p>
            <w:r>
              <w:t>Title Management</w:t>
            </w:r>
          </w:p>
        </w:tc>
        <w:tc>
          <w:tcPr>
            <w:tcW w:type="dxa" w:w="2160"/>
          </w:tcPr>
          <w:p>
            <w:r>
              <w:t>Title/Awarding</w:t>
            </w:r>
          </w:p>
        </w:tc>
        <w:tc>
          <w:tcPr>
            <w:tcW w:type="dxa" w:w="2160"/>
          </w:tcPr>
          <w:p>
            <w:r>
              <w:t>Authority, scope, configuration</w:t>
            </w:r>
          </w:p>
        </w:tc>
        <w:tc>
          <w:tcPr>
            <w:tcW w:type="dxa" w:w="2160"/>
          </w:tcPr>
          <w:p>
            <w:r>
              <w:t>Learning completion state</w:t>
            </w:r>
          </w:p>
        </w:tc>
      </w:tr>
      <w:tr>
        <w:tc>
          <w:tcPr>
            <w:tcW w:type="dxa" w:w="2160"/>
          </w:tcPr>
          <w:p>
            <w:r>
              <w:t>Path/Rule Versioning</w:t>
            </w:r>
          </w:p>
        </w:tc>
        <w:tc>
          <w:tcPr>
            <w:tcW w:type="dxa" w:w="2160"/>
          </w:tcPr>
          <w:p>
            <w:r>
              <w:t>Title/Awarding</w:t>
            </w:r>
          </w:p>
        </w:tc>
        <w:tc>
          <w:tcPr>
            <w:tcW w:type="dxa" w:w="2160"/>
          </w:tcPr>
          <w:p>
            <w:r>
              <w:t>Title definition/configuration</w:t>
            </w:r>
          </w:p>
        </w:tc>
        <w:tc>
          <w:tcPr>
            <w:tcW w:type="dxa" w:w="2160"/>
          </w:tcPr>
          <w:p>
            <w:r>
              <w:t>Learning course content</w:t>
            </w:r>
          </w:p>
        </w:tc>
      </w:tr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Title/Awarding</w:t>
            </w:r>
          </w:p>
        </w:tc>
        <w:tc>
          <w:tcPr>
            <w:tcW w:type="dxa" w:w="2160"/>
          </w:tcPr>
          <w:p>
            <w:r>
              <w:t>Evidence/outcomes from Learning/Partner/other approved sources</w:t>
            </w:r>
          </w:p>
        </w:tc>
        <w:tc>
          <w:tcPr>
            <w:tcW w:type="dxa" w:w="2160"/>
          </w:tcPr>
          <w:p>
            <w:r>
              <w:t>Payment ledger semantics</w:t>
            </w:r>
          </w:p>
        </w:tc>
      </w:tr>
      <w:tr>
        <w:tc>
          <w:tcPr>
            <w:tcW w:type="dxa" w:w="2160"/>
          </w:tcPr>
          <w:p>
            <w:r>
              <w:t>Award Instance</w:t>
            </w:r>
          </w:p>
        </w:tc>
        <w:tc>
          <w:tcPr>
            <w:tcW w:type="dxa" w:w="2160"/>
          </w:tcPr>
          <w:p>
            <w:r>
              <w:t>Title/Awarding</w:t>
            </w:r>
          </w:p>
        </w:tc>
        <w:tc>
          <w:tcPr>
            <w:tcW w:type="dxa" w:w="2160"/>
          </w:tcPr>
          <w:p>
            <w:r>
              <w:t>Qualification result, issuer authority</w:t>
            </w:r>
          </w:p>
        </w:tc>
        <w:tc>
          <w:tcPr>
            <w:tcW w:type="dxa" w:w="2160"/>
          </w:tcPr>
          <w:p>
            <w:r>
              <w:t>Certificate storage semantics</w:t>
            </w:r>
          </w:p>
        </w:tc>
      </w:tr>
      <w:tr>
        <w:tc>
          <w:tcPr>
            <w:tcW w:type="dxa" w:w="2160"/>
          </w:tcPr>
          <w:p>
            <w:r>
              <w:t>Award Lifecycle</w:t>
            </w:r>
          </w:p>
        </w:tc>
        <w:tc>
          <w:tcPr>
            <w:tcW w:type="dxa" w:w="2160"/>
          </w:tcPr>
          <w:p>
            <w:r>
              <w:t>Title/Awarding</w:t>
            </w:r>
          </w:p>
        </w:tc>
        <w:tc>
          <w:tcPr>
            <w:tcW w:type="dxa" w:w="2160"/>
          </w:tcPr>
          <w:p>
            <w:r>
              <w:t>Revocation/expiration/appeal policy</w:t>
            </w:r>
          </w:p>
        </w:tc>
        <w:tc>
          <w:tcPr>
            <w:tcW w:type="dxa" w:w="2160"/>
          </w:tcPr>
          <w:p>
            <w:r>
              <w:t>Learning enrollment state</w:t>
            </w:r>
          </w:p>
        </w:tc>
      </w:tr>
      <w:tr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Profile/Title integration</w:t>
            </w:r>
          </w:p>
        </w:tc>
        <w:tc>
          <w:tcPr>
            <w:tcW w:type="dxa" w:w="2160"/>
          </w:tcPr>
          <w:p>
            <w:r>
              <w:t>Award eligibility and lifecycle</w:t>
            </w:r>
          </w:p>
        </w:tc>
        <w:tc>
          <w:tcPr>
            <w:tcW w:type="dxa" w:w="2160"/>
          </w:tcPr>
          <w:p>
            <w:r>
              <w:t>Award ownership mutation</w:t>
            </w:r>
          </w:p>
        </w:tc>
      </w:tr>
      <w:tr>
        <w:tc>
          <w:tcPr>
            <w:tcW w:type="dxa" w:w="2160"/>
          </w:tcPr>
          <w:p>
            <w:r>
              <w:t>Learning Evidence</w:t>
            </w:r>
          </w:p>
        </w:tc>
        <w:tc>
          <w:tcPr>
            <w:tcW w:type="dxa" w:w="2160"/>
          </w:tcPr>
          <w:p>
            <w:r>
              <w:t>Learning</w:t>
            </w:r>
          </w:p>
        </w:tc>
        <w:tc>
          <w:tcPr>
            <w:tcW w:type="dxa" w:w="2160"/>
          </w:tcPr>
          <w:p>
            <w:r>
              <w:t>Learning activities/assessment</w:t>
            </w:r>
          </w:p>
        </w:tc>
        <w:tc>
          <w:tcPr>
            <w:tcW w:type="dxa" w:w="2160"/>
          </w:tcPr>
          <w:p>
            <w:r>
              <w:t>Final Title qualification authority</w:t>
            </w:r>
          </w:p>
        </w:tc>
      </w:tr>
      <w:tr>
        <w:tc>
          <w:tcPr>
            <w:tcW w:type="dxa" w:w="2160"/>
          </w:tcPr>
          <w:p>
            <w:r>
              <w:t>Commercial Evidence</w:t>
            </w:r>
          </w:p>
        </w:tc>
        <w:tc>
          <w:tcPr>
            <w:tcW w:type="dxa" w:w="2160"/>
          </w:tcPr>
          <w:p>
            <w:r>
              <w:t>Commercial/Payment</w:t>
            </w:r>
          </w:p>
        </w:tc>
        <w:tc>
          <w:tcPr>
            <w:tcW w:type="dxa" w:w="2160"/>
          </w:tcPr>
          <w:p>
            <w:r>
              <w:t>Payment/subscription outcomes</w:t>
            </w:r>
          </w:p>
        </w:tc>
        <w:tc>
          <w:tcPr>
            <w:tcW w:type="dxa" w:w="2160"/>
          </w:tcPr>
          <w:p>
            <w:r>
              <w:t>Award lifecycle</w:t>
            </w:r>
          </w:p>
        </w:tc>
      </w:tr>
      <w:tr>
        <w:tc>
          <w:tcPr>
            <w:tcW w:type="dxa" w:w="2160"/>
          </w:tcPr>
          <w:p>
            <w:r>
              <w:t>RBAC</w:t>
            </w:r>
          </w:p>
        </w:tc>
        <w:tc>
          <w:tcPr>
            <w:tcW w:type="dxa" w:w="2160"/>
          </w:tcPr>
          <w:p>
            <w:r>
              <w:t>Identity/Authorization</w:t>
            </w:r>
          </w:p>
        </w:tc>
        <w:tc>
          <w:tcPr>
            <w:tcW w:type="dxa" w:w="2160"/>
          </w:tcPr>
          <w:p>
            <w:r>
              <w:t>Actor identity and permission/scope</w:t>
            </w:r>
          </w:p>
        </w:tc>
        <w:tc>
          <w:tcPr>
            <w:tcW w:type="dxa" w:w="2160"/>
          </w:tcPr>
          <w:p>
            <w:r>
              <w:t>Business qualification result</w:t>
            </w:r>
          </w:p>
        </w:tc>
      </w:tr>
    </w:tbl>
    <w:p>
      <w:pPr>
        <w:pStyle w:val="Heading1"/>
      </w:pPr>
      <w:r>
        <w:t>4. Qualification Transaction Boundary</w:t>
      </w:r>
    </w:p>
    <w:p>
      <w:pPr>
        <w:jc w:val="center"/>
      </w:pPr>
      <w:r>
        <w:t>Input: qualification request / evidence references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Validate actor + authority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Resolve Title + applicable Path Version + Rule Version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Evaluate prerequisites / conditions / evidence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Persist qualification result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If satisfied → create Award Instance atomically with required provenance</w:t>
      </w:r>
    </w:p>
    <w:p>
      <w:pPr>
        <w:jc w:val="center"/>
      </w:pPr>
      <w:r>
        <w:t>If not satisfied → persist result without Award</w:t>
      </w:r>
    </w:p>
    <w:p>
      <w:r>
        <w:t>The qualification operation must be server-authoritative. Client UI cannot directly set an earned Title or Award state.</w:t>
      </w:r>
    </w:p>
    <w:p>
      <w:pPr>
        <w:pStyle w:val="Heading1"/>
      </w:pPr>
      <w:r>
        <w:t>5. Award Lifecycle Transaction Boundary</w:t>
      </w:r>
    </w:p>
    <w:p>
      <w:pPr>
        <w:pStyle w:val="ListBullet"/>
      </w:pPr>
      <w:r>
        <w:t>Revocation is an explicit governed transition with reason, actor and timestamp.</w:t>
      </w:r>
    </w:p>
    <w:p>
      <w:pPr>
        <w:pStyle w:val="ListBullet"/>
      </w:pPr>
      <w:r>
        <w:t>Expiration is policy-driven and distinct from revocation.</w:t>
      </w:r>
    </w:p>
    <w:p>
      <w:pPr>
        <w:pStyle w:val="ListBullet"/>
      </w:pPr>
      <w:r>
        <w:t>Appeal submission is a separate workflow with deadline validation.</w:t>
      </w:r>
    </w:p>
    <w:p>
      <w:pPr>
        <w:pStyle w:val="ListBullet"/>
      </w:pPr>
      <w:r>
        <w:t>Stay behavior is derived from governed lifecycle policy, not notification delivery.</w:t>
      </w:r>
    </w:p>
    <w:p>
      <w:pPr>
        <w:pStyle w:val="ListBullet"/>
      </w:pPr>
      <w:r>
        <w:t>Restoration mutates the existing Award lifecycle state/history and does not create a new Award identity.</w:t>
      </w:r>
    </w:p>
    <w:p>
      <w:pPr>
        <w:pStyle w:val="ListBullet"/>
      </w:pPr>
      <w:r>
        <w:t>All lifecycle changes require audit/provenance capture.</w:t>
      </w:r>
    </w:p>
    <w:p>
      <w:pPr>
        <w:pStyle w:val="Heading1"/>
      </w:pPr>
      <w:r>
        <w:t>6. Cross-Domain Integration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Domain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Data Meaning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</w:tr>
      <w:tr>
        <w:tc>
          <w:tcPr>
            <w:tcW w:type="dxa" w:w="2160"/>
          </w:tcPr>
          <w:p>
            <w:r>
              <w:t>Learning</w:t>
            </w:r>
          </w:p>
        </w:tc>
        <w:tc>
          <w:tcPr>
            <w:tcW w:type="dxa" w:w="2160"/>
          </w:tcPr>
          <w:p>
            <w:r>
              <w:t>Learning → Awarding</w:t>
            </w:r>
          </w:p>
        </w:tc>
        <w:tc>
          <w:tcPr>
            <w:tcW w:type="dxa" w:w="2160"/>
          </w:tcPr>
          <w:p>
            <w:r>
              <w:t>Completion, assessment, LP, certificate/outcome references</w:t>
            </w:r>
          </w:p>
        </w:tc>
        <w:tc>
          <w:tcPr>
            <w:tcW w:type="dxa" w:w="2160"/>
          </w:tcPr>
          <w:p>
            <w:r>
              <w:t>Only accepted when Path/Rule permits.</w:t>
            </w:r>
          </w:p>
        </w:tc>
      </w:tr>
      <w:tr>
        <w:tc>
          <w:tcPr>
            <w:tcW w:type="dxa" w:w="2160"/>
          </w:tcPr>
          <w:p>
            <w:r>
              <w:t>Partnership Learning</w:t>
            </w:r>
          </w:p>
        </w:tc>
        <w:tc>
          <w:tcPr>
            <w:tcW w:type="dxa" w:w="2160"/>
          </w:tcPr>
          <w:p>
            <w:r>
              <w:t>Partner → Awarding via governed integration</w:t>
            </w:r>
          </w:p>
        </w:tc>
        <w:tc>
          <w:tcPr>
            <w:tcW w:type="dxa" w:w="2160"/>
          </w:tcPr>
          <w:p>
            <w:r>
              <w:t>Partner learning outcome/evidence</w:t>
            </w:r>
          </w:p>
        </w:tc>
        <w:tc>
          <w:tcPr>
            <w:tcW w:type="dxa" w:w="2160"/>
          </w:tcPr>
          <w:p>
            <w:r>
              <w:t>Partner role does not automatically grant Award authority.</w:t>
            </w:r>
          </w:p>
        </w:tc>
      </w:tr>
      <w:tr>
        <w:tc>
          <w:tcPr>
            <w:tcW w:type="dxa" w:w="2160"/>
          </w:tcPr>
          <w:p>
            <w:r>
              <w:t>Commercial</w:t>
            </w:r>
          </w:p>
        </w:tc>
        <w:tc>
          <w:tcPr>
            <w:tcW w:type="dxa" w:w="2160"/>
          </w:tcPr>
          <w:p>
            <w:r>
              <w:t>Commercial → Awarding</w:t>
            </w:r>
          </w:p>
        </w:tc>
        <w:tc>
          <w:tcPr>
            <w:tcW w:type="dxa" w:w="2160"/>
          </w:tcPr>
          <w:p>
            <w:r>
              <w:t>Commercial entitlement/payment outcome if rule permits</w:t>
            </w:r>
          </w:p>
        </w:tc>
        <w:tc>
          <w:tcPr>
            <w:tcW w:type="dxa" w:w="2160"/>
          </w:tcPr>
          <w:p>
            <w:r>
              <w:t>Payment confirmation does not directly create Award.</w:t>
            </w:r>
          </w:p>
        </w:tc>
      </w:tr>
      <w:tr>
        <w:tc>
          <w:tcPr>
            <w:tcW w:type="dxa" w:w="2160"/>
          </w:tcPr>
          <w:p>
            <w:r>
              <w:t>Identity/RBAC</w:t>
            </w:r>
          </w:p>
        </w:tc>
        <w:tc>
          <w:tcPr>
            <w:tcW w:type="dxa" w:w="2160"/>
          </w:tcPr>
          <w:p>
            <w:r>
              <w:t>Identity → Awarding</w:t>
            </w:r>
          </w:p>
        </w:tc>
        <w:tc>
          <w:tcPr>
            <w:tcW w:type="dxa" w:w="2160"/>
          </w:tcPr>
          <w:p>
            <w:r>
              <w:t>Actor identity + effective authorization</w:t>
            </w:r>
          </w:p>
        </w:tc>
        <w:tc>
          <w:tcPr>
            <w:tcW w:type="dxa" w:w="2160"/>
          </w:tcPr>
          <w:p>
            <w:r>
              <w:t>Authorization must be checked before privileged action.</w:t>
            </w:r>
          </w:p>
        </w:tc>
      </w:tr>
      <w:tr>
        <w:tc>
          <w:tcPr>
            <w:tcW w:type="dxa" w:w="2160"/>
          </w:tcPr>
          <w:p>
            <w:r>
              <w:t>Awarding</w:t>
            </w:r>
          </w:p>
        </w:tc>
        <w:tc>
          <w:tcPr>
            <w:tcW w:type="dxa" w:w="2160"/>
          </w:tcPr>
          <w:p>
            <w:r>
              <w:t>Awarding → Profile</w:t>
            </w:r>
          </w:p>
        </w:tc>
        <w:tc>
          <w:tcPr>
            <w:tcW w:type="dxa" w:w="2160"/>
          </w:tcPr>
          <w:p>
            <w:r>
              <w:t>Award visibility/presentation data</w:t>
            </w:r>
          </w:p>
        </w:tc>
        <w:tc>
          <w:tcPr>
            <w:tcW w:type="dxa" w:w="2160"/>
          </w:tcPr>
          <w:p>
            <w:r>
              <w:t>Profile does not own Award state.</w:t>
            </w:r>
          </w:p>
        </w:tc>
      </w:tr>
    </w:tbl>
    <w:p>
      <w:pPr>
        <w:pStyle w:val="Heading1"/>
      </w:pPr>
      <w:r>
        <w:t>7. Idempotency and Concurrency</w:t>
      </w:r>
    </w:p>
    <w:p>
      <w:pPr>
        <w:pStyle w:val="ListBullet"/>
      </w:pPr>
      <w:r>
        <w:t>Qualification retries must not create duplicate Awards where repeat/renewal policy does not allow them.</w:t>
      </w:r>
    </w:p>
    <w:p>
      <w:pPr>
        <w:pStyle w:val="ListBullet"/>
      </w:pPr>
      <w:r>
        <w:t>Award issuance must have a deterministic duplicate-prevention strategy.</w:t>
      </w:r>
    </w:p>
    <w:p>
      <w:pPr>
        <w:pStyle w:val="ListBullet"/>
      </w:pPr>
      <w:r>
        <w:t>Appeal submission must not create unintended multiple active appeals for the same revocation.</w:t>
      </w:r>
    </w:p>
    <w:p>
      <w:pPr>
        <w:pStyle w:val="ListBullet"/>
      </w:pPr>
      <w:r>
        <w:t>Presentation updates should be retry-safe.</w:t>
      </w:r>
    </w:p>
    <w:p>
      <w:pPr>
        <w:pStyle w:val="ListBullet"/>
      </w:pPr>
      <w:r>
        <w:t>Current-version concurrency semantics remain open where MADCR-037 does not lock them; engineering must not invent a governance rule.</w:t>
      </w:r>
    </w:p>
    <w:p>
      <w:pPr>
        <w:pStyle w:val="ListBullet"/>
      </w:pPr>
      <w:r>
        <w:t>Used Path/Rule versions must not be mutated by concurrent administration after historical use.</w:t>
      </w:r>
    </w:p>
    <w:p>
      <w:pPr>
        <w:pStyle w:val="Heading1"/>
      </w:pPr>
      <w:r>
        <w:t>8. Audit / Provenance Responsibility</w:t>
      </w:r>
    </w:p>
    <w:p>
      <w:pPr>
        <w:pStyle w:val="ListBullet"/>
      </w:pPr>
      <w:r>
        <w:t>Award creation records why qualification succeeded and which Path/Rule versions were used.</w:t>
      </w:r>
    </w:p>
    <w:p>
      <w:pPr>
        <w:pStyle w:val="ListBullet"/>
      </w:pPr>
      <w:r>
        <w:t>Lifecycle actions record actor, reason, timestamp and resulting state.</w:t>
      </w:r>
    </w:p>
    <w:p>
      <w:pPr>
        <w:pStyle w:val="ListBullet"/>
      </w:pPr>
      <w:r>
        <w:t>Appeal decisions record submission and decision history.</w:t>
      </w:r>
    </w:p>
    <w:p>
      <w:pPr>
        <w:pStyle w:val="ListBullet"/>
      </w:pPr>
      <w:r>
        <w:t>Audit data must remain queryable for authorized historical explanation.</w:t>
      </w:r>
    </w:p>
    <w:p>
      <w:pPr>
        <w:pStyle w:val="ListBullet"/>
      </w:pPr>
      <w:r>
        <w:t>Auditability does not mandate event sourcing.</w:t>
      </w:r>
    </w:p>
    <w:p>
      <w:pPr>
        <w:pStyle w:val="Heading1"/>
      </w:pPr>
      <w:r>
        <w:t>9.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Failure</w:t>
            </w:r>
          </w:p>
        </w:tc>
        <w:tc>
          <w:tcPr>
            <w:tcW w:type="dxa" w:w="2880"/>
          </w:tcPr>
          <w:p>
            <w:r>
              <w:t>Required Behavior</w:t>
            </w:r>
          </w:p>
        </w:tc>
        <w:tc>
          <w:tcPr>
            <w:tcW w:type="dxa" w:w="2880"/>
          </w:tcPr>
          <w:p>
            <w:r>
              <w:t>Do Not Do</w:t>
            </w:r>
          </w:p>
        </w:tc>
      </w:tr>
      <w:tr>
        <w:tc>
          <w:tcPr>
            <w:tcW w:type="dxa" w:w="2880"/>
          </w:tcPr>
          <w:p>
            <w:r>
              <w:t>Evidence source unavailable</w:t>
            </w:r>
          </w:p>
        </w:tc>
        <w:tc>
          <w:tcPr>
            <w:tcW w:type="dxa" w:w="2880"/>
          </w:tcPr>
          <w:p>
            <w:r>
              <w:t>Qualification may remain pending/retryable according to workflow.</w:t>
            </w:r>
          </w:p>
        </w:tc>
        <w:tc>
          <w:tcPr>
            <w:tcW w:type="dxa" w:w="2880"/>
          </w:tcPr>
          <w:p>
            <w:r>
              <w:t>Create Award without verified evidence.</w:t>
            </w:r>
          </w:p>
        </w:tc>
      </w:tr>
      <w:tr>
        <w:tc>
          <w:tcPr>
            <w:tcW w:type="dxa" w:w="2880"/>
          </w:tcPr>
          <w:p>
            <w:r>
              <w:t>Duplicate request</w:t>
            </w:r>
          </w:p>
        </w:tc>
        <w:tc>
          <w:tcPr>
            <w:tcW w:type="dxa" w:w="2880"/>
          </w:tcPr>
          <w:p>
            <w:r>
              <w:t>Return existing deterministic result or conflict according to idempotency policy.</w:t>
            </w:r>
          </w:p>
        </w:tc>
        <w:tc>
          <w:tcPr>
            <w:tcW w:type="dxa" w:w="2880"/>
          </w:tcPr>
          <w:p>
            <w:r>
              <w:t>Create duplicate Award.</w:t>
            </w:r>
          </w:p>
        </w:tc>
      </w:tr>
      <w:tr>
        <w:tc>
          <w:tcPr>
            <w:tcW w:type="dxa" w:w="2880"/>
          </w:tcPr>
          <w:p>
            <w:r>
              <w:t>Rule Version invalid/retired</w:t>
            </w:r>
          </w:p>
        </w:tc>
        <w:tc>
          <w:tcPr>
            <w:tcW w:type="dxa" w:w="2880"/>
          </w:tcPr>
          <w:p>
            <w:r>
              <w:t>Reject or route to valid governed version.</w:t>
            </w:r>
          </w:p>
        </w:tc>
        <w:tc>
          <w:tcPr>
            <w:tcW w:type="dxa" w:w="2880"/>
          </w:tcPr>
          <w:p>
            <w:r>
              <w:t>Silently evaluate against another version.</w:t>
            </w:r>
          </w:p>
        </w:tc>
      </w:tr>
      <w:tr>
        <w:tc>
          <w:tcPr>
            <w:tcW w:type="dxa" w:w="2880"/>
          </w:tcPr>
          <w:p>
            <w:r>
              <w:t>Authorization failure</w:t>
            </w:r>
          </w:p>
        </w:tc>
        <w:tc>
          <w:tcPr>
            <w:tcW w:type="dxa" w:w="2880"/>
          </w:tcPr>
          <w:p>
            <w:r>
              <w:t>Reject operation before privileged mutation.</w:t>
            </w:r>
          </w:p>
        </w:tc>
        <w:tc>
          <w:tcPr>
            <w:tcW w:type="dxa" w:w="2880"/>
          </w:tcPr>
          <w:p>
            <w:r>
              <w:t>Fallback to Admin/Manager automatically.</w:t>
            </w:r>
          </w:p>
        </w:tc>
      </w:tr>
      <w:tr>
        <w:tc>
          <w:tcPr>
            <w:tcW w:type="dxa" w:w="2880"/>
          </w:tcPr>
          <w:p>
            <w:r>
              <w:t>Partial lifecycle failure</w:t>
            </w:r>
          </w:p>
        </w:tc>
        <w:tc>
          <w:tcPr>
            <w:tcW w:type="dxa" w:w="2880"/>
          </w:tcPr>
          <w:p>
            <w:r>
              <w:t>Maintain consistent Award state and audit integrity.</w:t>
            </w:r>
          </w:p>
        </w:tc>
        <w:tc>
          <w:tcPr>
            <w:tcW w:type="dxa" w:w="2880"/>
          </w:tcPr>
          <w:p>
            <w:r>
              <w:t>Leave Award in ambiguous state.</w:t>
            </w:r>
          </w:p>
        </w:tc>
      </w:tr>
      <w:tr>
        <w:tc>
          <w:tcPr>
            <w:tcW w:type="dxa" w:w="2880"/>
          </w:tcPr>
          <w:p>
            <w:r>
              <w:t>Learning result changed later</w:t>
            </w:r>
          </w:p>
        </w:tc>
        <w:tc>
          <w:tcPr>
            <w:tcW w:type="dxa" w:w="2880"/>
          </w:tcPr>
          <w:p>
            <w:r>
              <w:t>Do not automatically mutate historical Award unless explicit validity policy requires lifecycle action.</w:t>
            </w:r>
          </w:p>
        </w:tc>
        <w:tc>
          <w:tcPr>
            <w:tcW w:type="dxa" w:w="2880"/>
          </w:tcPr>
          <w:p>
            <w:r>
              <w:t>Rewrite original provenance.</w:t>
            </w:r>
          </w:p>
        </w:tc>
      </w:tr>
    </w:tbl>
    <w:p>
      <w:pPr>
        <w:pStyle w:val="Heading1"/>
      </w:pPr>
      <w:r>
        <w:t>10. Configuration Boundary</w:t>
      </w:r>
    </w:p>
    <w:p>
      <w:pPr>
        <w:pStyle w:val="ListBullet"/>
      </w:pPr>
      <w:r>
        <w:t>Configurable Title/Awarding policies belong to governed configuration, not scattered constants.</w:t>
      </w:r>
    </w:p>
    <w:p>
      <w:pPr>
        <w:pStyle w:val="ListBullet"/>
      </w:pPr>
      <w:r>
        <w:t>Configuration changes must not rewrite historical Award semantics.</w:t>
      </w:r>
    </w:p>
    <w:p>
      <w:pPr>
        <w:pStyle w:val="ListBullet"/>
      </w:pPr>
      <w:r>
        <w:t>Material qualification changes must use Path/Rule version boundaries.</w:t>
      </w:r>
    </w:p>
    <w:p>
      <w:pPr>
        <w:pStyle w:val="ListBullet"/>
      </w:pPr>
      <w:r>
        <w:t>Configuration service/administration must be authorized separately from Award issuance.</w:t>
      </w:r>
    </w:p>
    <w:p>
      <w:pPr>
        <w:pStyle w:val="Heading1"/>
      </w:pPr>
      <w:r>
        <w:t>11. Engineering Dependency on AEP3-OD-06</w:t>
      </w:r>
    </w:p>
    <w:p>
      <w:r>
        <w:t>Service boundaries can be defined without deciding whether a dedicated Issuer role exists. However, the effective authorization adapter and authority/scope binding implementation cannot be finalized until AEP3-OD-06 is decided.</w:t>
      </w:r>
    </w:p>
    <w:p>
      <w:pPr>
        <w:pStyle w:val="Heading1"/>
      </w:pPr>
      <w:r>
        <w:t>12. Engineering Decisions NOT Yet Made</w:t>
      </w:r>
    </w:p>
    <w:p>
      <w:pPr>
        <w:pStyle w:val="ListBullet"/>
      </w:pPr>
      <w:r>
        <w:t>Monolith module vs separate service deployment.</w:t>
      </w:r>
    </w:p>
    <w:p>
      <w:pPr>
        <w:pStyle w:val="ListBullet"/>
      </w:pPr>
      <w:r>
        <w:t>Synchronous vs asynchronous qualification execution.</w:t>
      </w:r>
    </w:p>
    <w:p>
      <w:pPr>
        <w:pStyle w:val="ListBullet"/>
      </w:pPr>
      <w:r>
        <w:t>Queue/event bus vendor or mechanism.</w:t>
      </w:r>
    </w:p>
    <w:p>
      <w:pPr>
        <w:pStyle w:val="ListBullet"/>
      </w:pPr>
      <w:r>
        <w:t>Event sourcing vs state + audit implementation.</w:t>
      </w:r>
    </w:p>
    <w:p>
      <w:pPr>
        <w:pStyle w:val="ListBullet"/>
      </w:pPr>
      <w:r>
        <w:t>Exact transaction isolation/locking strategy.</w:t>
      </w:r>
    </w:p>
    <w:p>
      <w:pPr>
        <w:pStyle w:val="ListBullet"/>
      </w:pPr>
      <w:r>
        <w:t>Exact cache strategy.</w:t>
      </w:r>
    </w:p>
    <w:p>
      <w:pPr>
        <w:pStyle w:val="ListBullet"/>
      </w:pPr>
      <w:r>
        <w:t>Exact API endpoint and payload names.</w:t>
      </w:r>
    </w:p>
    <w:p>
      <w:pPr>
        <w:pStyle w:val="ListBullet"/>
      </w:pPr>
      <w:r>
        <w:t>Exact RBAC permission IDs.</w:t>
      </w:r>
    </w:p>
    <w:p>
      <w:pPr>
        <w:pStyle w:val="ListBullet"/>
      </w:pPr>
      <w:r>
        <w:t>Physical authority/scope tables.</w:t>
      </w:r>
    </w:p>
    <w:p>
      <w:pPr>
        <w:pStyle w:val="Heading1"/>
      </w:pPr>
      <w:r>
        <w:t>13. Gate Result</w:t>
      </w:r>
    </w:p>
    <w:p>
      <w:r>
        <w:rPr>
          <w:b/>
        </w:rPr>
        <w:t>RESULT: PASS — ENGINEERING BOUNDARIES DEFINED</w:t>
      </w:r>
    </w:p>
    <w:p>
      <w:r>
        <w:t>The domain/service boundary is sufficiently defined to proceed to final RBAC/authority design and technical traceability. No implementation technology decision is introduced by this artifact.</w:t>
      </w:r>
    </w:p>
    <w:p>
      <w:pPr>
        <w:pStyle w:val="Heading1"/>
      </w:pPr>
      <w:r>
        <w:t>14. Next Step</w:t>
      </w:r>
    </w:p>
    <w:p>
      <w:r>
        <w:t>AEP3-Impact-10 — Traceability &amp; Acceptance/Test Impact. This stage will map BR 001–100 and governing MADCRs to Title/Awarding capabilities, schema concepts, API capabilities, user flows, authorization requirements and acceptance tests. It will expose any residual gaps before AEP #3 is declared architecture-complete.</w:t>
      </w:r>
    </w:p>
    <w:p>
      <w:pPr>
        <w:pStyle w:val="Heading1"/>
      </w:pPr>
      <w:r>
        <w:t>15. Artifact Control</w:t>
      </w:r>
    </w:p>
    <w:p>
      <w:r>
        <w:t>Artifact ID: AEP3-Impact-09</w:t>
      </w:r>
    </w:p>
    <w:p>
      <w:r>
        <w:t>AEP: #3 — Title / Awarding Business Rules</w:t>
      </w:r>
    </w:p>
    <w:p>
      <w:r>
        <w:t>Status: COMPLETED</w:t>
      </w:r>
    </w:p>
    <w:p>
      <w:r>
        <w:t>Implementation authorization: NOT GRANTED</w:t>
      </w:r>
    </w:p>
    <w:p>
      <w:r>
        <w:t>Open Decision: AEP3-OD-06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