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Impact 10 — Traceability &amp; Acceptance/Test Impact Specification</w:t>
      </w:r>
    </w:p>
    <w:p>
      <w:pPr>
        <w:jc w:val="center"/>
      </w:pPr>
      <w:r>
        <w:rPr>
          <w:i/>
        </w:rPr>
        <w:t>Version 1.0 | Status: COMPLETED — TRACEABILITY GATE</w:t>
      </w:r>
    </w:p>
    <w:p>
      <w:pPr>
        <w:pStyle w:val="Heading1"/>
      </w:pPr>
      <w:r>
        <w:t>1. Purpose</w:t>
      </w:r>
    </w:p>
    <w:p>
      <w:r>
        <w:t>Melakukan final semantic traceability pass atas Title Business Rules 001–100 dan governing MADCR terhadap target Title/Awarding architecture, logical schema, API capability, RBAC/authority, user flow, PRD dan acceptance testing. Tujuan tahap ini adalah menemukan residual coverage gaps sebelum AEP #3 dinyatakan architecture-complete.</w:t>
      </w:r>
    </w:p>
    <w:p>
      <w:pPr>
        <w:pStyle w:val="Heading1"/>
      </w:pPr>
      <w:r>
        <w:t>2. Traceability Model</w:t>
      </w:r>
    </w:p>
    <w:p>
      <w:pPr>
        <w:jc w:val="center"/>
      </w:pPr>
      <w:r>
        <w:t>Business Rule / MADCR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Architecture Capability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Logical Entity / State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API Capability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Authorization / Scope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User Flow / Product Requirement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Acceptance / Test</w:t>
      </w:r>
    </w:p>
    <w:p>
      <w:pPr>
        <w:pStyle w:val="Heading1"/>
      </w:pPr>
      <w:r>
        <w:t>3. Business Rule Coverage by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BR Cluster</w:t>
            </w:r>
          </w:p>
        </w:tc>
        <w:tc>
          <w:tcPr>
            <w:tcW w:type="dxa" w:w="1728"/>
          </w:tcPr>
          <w:p>
            <w:r>
              <w:t>Semantic Coverage</w:t>
            </w:r>
          </w:p>
        </w:tc>
        <w:tc>
          <w:tcPr>
            <w:tcW w:type="dxa" w:w="1728"/>
          </w:tcPr>
          <w:p>
            <w:r>
              <w:t>Architecture</w:t>
            </w:r>
          </w:p>
        </w:tc>
        <w:tc>
          <w:tcPr>
            <w:tcW w:type="dxa" w:w="1728"/>
          </w:tcPr>
          <w:p>
            <w:r>
              <w:t>Product/Test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001–010 — Title Identity / Presentation</w:t>
            </w:r>
          </w:p>
        </w:tc>
        <w:tc>
          <w:tcPr>
            <w:tcW w:type="dxa" w:w="1728"/>
          </w:tcPr>
          <w:p>
            <w:r>
              <w:t>Title identity, rename, presentation and primary/featured semantics.</w:t>
            </w:r>
          </w:p>
        </w:tc>
        <w:tc>
          <w:tcPr>
            <w:tcW w:type="dxa" w:w="1728"/>
          </w:tcPr>
          <w:p>
            <w:r>
              <w:t>Title + Presentation</w:t>
            </w:r>
          </w:p>
        </w:tc>
        <w:tc>
          <w:tcPr>
            <w:tcW w:type="dxa" w:w="1728"/>
          </w:tcPr>
          <w:p>
            <w:r>
              <w:t>Profile/catalog/presentation acceptance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011–020 — Prerequisite / Qualification</w:t>
            </w:r>
          </w:p>
        </w:tc>
        <w:tc>
          <w:tcPr>
            <w:tcW w:type="dxa" w:w="1728"/>
          </w:tcPr>
          <w:p>
            <w:r>
              <w:t>Prerequisites, evidence, completion, assessment and LP conditions.</w:t>
            </w:r>
          </w:p>
        </w:tc>
        <w:tc>
          <w:tcPr>
            <w:tcW w:type="dxa" w:w="1728"/>
          </w:tcPr>
          <w:p>
            <w:r>
              <w:t>Prerequisite + Evidence + Qualification</w:t>
            </w:r>
          </w:p>
        </w:tc>
        <w:tc>
          <w:tcPr>
            <w:tcW w:type="dxa" w:w="1728"/>
          </w:tcPr>
          <w:p>
            <w:r>
              <w:t>Qualification journey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021–030 — Award Creation / Ownership / Presentation</w:t>
            </w:r>
          </w:p>
        </w:tc>
        <w:tc>
          <w:tcPr>
            <w:tcW w:type="dxa" w:w="1728"/>
          </w:tcPr>
          <w:p>
            <w:r>
              <w:t>Award creation, identity, provenance, ownership and presentation constraints.</w:t>
            </w:r>
          </w:p>
        </w:tc>
        <w:tc>
          <w:tcPr>
            <w:tcW w:type="dxa" w:w="1728"/>
          </w:tcPr>
          <w:p>
            <w:r>
              <w:t>Award Instance + Provenance</w:t>
            </w:r>
          </w:p>
        </w:tc>
        <w:tc>
          <w:tcPr>
            <w:tcW w:type="dxa" w:w="1728"/>
          </w:tcPr>
          <w:p>
            <w:r>
              <w:t>Award issuance/profile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031–040 — Title/Rule/Prerequisite Semantics</w:t>
            </w:r>
          </w:p>
        </w:tc>
        <w:tc>
          <w:tcPr>
            <w:tcW w:type="dxa" w:w="1728"/>
          </w:tcPr>
          <w:p>
            <w:r>
              <w:t>Rename, rule materiality, path/rule versioning, prerequisite lifecycle independence.</w:t>
            </w:r>
          </w:p>
        </w:tc>
        <w:tc>
          <w:tcPr>
            <w:tcW w:type="dxa" w:w="1728"/>
          </w:tcPr>
          <w:p>
            <w:r>
              <w:t>Title + Path Version + Rule Version + Qualification</w:t>
            </w:r>
          </w:p>
        </w:tc>
        <w:tc>
          <w:tcPr>
            <w:tcW w:type="dxa" w:w="1728"/>
          </w:tcPr>
          <w:p>
            <w:r>
              <w:t>Versioning/regression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041–050 — Rule Version / Conditions / Multiple Paths</w:t>
            </w:r>
          </w:p>
        </w:tc>
        <w:tc>
          <w:tcPr>
            <w:tcW w:type="dxa" w:w="1728"/>
          </w:tcPr>
          <w:p>
            <w:r>
              <w:t>Rule version immutability, AND/OR/grouping, evidence, multiple routes.</w:t>
            </w:r>
          </w:p>
        </w:tc>
        <w:tc>
          <w:tcPr>
            <w:tcW w:type="dxa" w:w="1728"/>
          </w:tcPr>
          <w:p>
            <w:r>
              <w:t>Rule Version + Condition + Evaluation</w:t>
            </w:r>
          </w:p>
        </w:tc>
        <w:tc>
          <w:tcPr>
            <w:tcW w:type="dxa" w:w="1728"/>
          </w:tcPr>
          <w:p>
            <w:r>
              <w:t>Condition matrix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051–060 — Governance / Authority / Eligibility</w:t>
            </w:r>
          </w:p>
        </w:tc>
        <w:tc>
          <w:tcPr>
            <w:tcW w:type="dxa" w:w="1728"/>
          </w:tcPr>
          <w:p>
            <w:r>
              <w:t>Version governance, issuer/authority and qualification boundaries.</w:t>
            </w:r>
          </w:p>
        </w:tc>
        <w:tc>
          <w:tcPr>
            <w:tcW w:type="dxa" w:w="1728"/>
          </w:tcPr>
          <w:p>
            <w:r>
              <w:t>Authority/Scope + RBAC</w:t>
            </w:r>
          </w:p>
        </w:tc>
        <w:tc>
          <w:tcPr>
            <w:tcW w:type="dxa" w:w="1728"/>
          </w:tcPr>
          <w:p>
            <w:r>
              <w:t>Authorization/scope tests</w:t>
            </w:r>
          </w:p>
        </w:tc>
        <w:tc>
          <w:tcPr>
            <w:tcW w:type="dxa" w:w="1728"/>
          </w:tcPr>
          <w:p>
            <w:r>
              <w:t>COVERED WITH OD-02</w:t>
            </w:r>
          </w:p>
        </w:tc>
      </w:tr>
      <w:tr>
        <w:tc>
          <w:tcPr>
            <w:tcW w:type="dxa" w:w="1728"/>
          </w:tcPr>
          <w:p>
            <w:r>
              <w:t>061–070 — Eligibility / Issuer / Scope</w:t>
            </w:r>
          </w:p>
        </w:tc>
        <w:tc>
          <w:tcPr>
            <w:tcW w:type="dxa" w:w="1728"/>
          </w:tcPr>
          <w:p>
            <w:r>
              <w:t>Issuer, partner, organization and authority-related semantics.</w:t>
            </w:r>
          </w:p>
        </w:tc>
        <w:tc>
          <w:tcPr>
            <w:tcW w:type="dxa" w:w="1728"/>
          </w:tcPr>
          <w:p>
            <w:r>
              <w:t>Authority/Scope Binding</w:t>
            </w:r>
          </w:p>
        </w:tc>
        <w:tc>
          <w:tcPr>
            <w:tcW w:type="dxa" w:w="1728"/>
          </w:tcPr>
          <w:p>
            <w:r>
              <w:t>Cross-scope tests</w:t>
            </w:r>
          </w:p>
        </w:tc>
        <w:tc>
          <w:tcPr>
            <w:tcW w:type="dxa" w:w="1728"/>
          </w:tcPr>
          <w:p>
            <w:r>
              <w:t>COVERED WITH OD-02</w:t>
            </w:r>
          </w:p>
        </w:tc>
      </w:tr>
      <w:tr>
        <w:tc>
          <w:tcPr>
            <w:tcW w:type="dxa" w:w="1728"/>
          </w:tcPr>
          <w:p>
            <w:r>
              <w:t>071–080 — Authority / Lifecycle</w:t>
            </w:r>
          </w:p>
        </w:tc>
        <w:tc>
          <w:tcPr>
            <w:tcW w:type="dxa" w:w="1728"/>
          </w:tcPr>
          <w:p>
            <w:r>
              <w:t>Authority ownership, Award state and lifecycle boundaries.</w:t>
            </w:r>
          </w:p>
        </w:tc>
        <w:tc>
          <w:tcPr>
            <w:tcW w:type="dxa" w:w="1728"/>
          </w:tcPr>
          <w:p>
            <w:r>
              <w:t>Award Lifecycle + Authority</w:t>
            </w:r>
          </w:p>
        </w:tc>
        <w:tc>
          <w:tcPr>
            <w:tcW w:type="dxa" w:w="1728"/>
          </w:tcPr>
          <w:p>
            <w:r>
              <w:t>Lifecycle authorization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081–090 — Appeal / Stay / Restoration</w:t>
            </w:r>
          </w:p>
        </w:tc>
        <w:tc>
          <w:tcPr>
            <w:tcW w:type="dxa" w:w="1728"/>
          </w:tcPr>
          <w:p>
            <w:r>
              <w:t>Appeal deadlines, stay, decision and restoration.</w:t>
            </w:r>
          </w:p>
        </w:tc>
        <w:tc>
          <w:tcPr>
            <w:tcW w:type="dxa" w:w="1728"/>
          </w:tcPr>
          <w:p>
            <w:r>
              <w:t>Appeal + Lifecycle History</w:t>
            </w:r>
          </w:p>
        </w:tc>
        <w:tc>
          <w:tcPr>
            <w:tcW w:type="dxa" w:w="1728"/>
          </w:tcPr>
          <w:p>
            <w:r>
              <w:t>Appeal state-machine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091–100 — Configuration / Presentation / History</w:t>
            </w:r>
          </w:p>
        </w:tc>
        <w:tc>
          <w:tcPr>
            <w:tcW w:type="dxa" w:w="1728"/>
          </w:tcPr>
          <w:p>
            <w:r>
              <w:t>Configurable policy, historical integrity, primary/featured and revoked behavior.</w:t>
            </w:r>
          </w:p>
        </w:tc>
        <w:tc>
          <w:tcPr>
            <w:tcW w:type="dxa" w:w="1728"/>
          </w:tcPr>
          <w:p>
            <w:r>
              <w:t>Configuration + Presentation + Audit</w:t>
            </w:r>
          </w:p>
        </w:tc>
        <w:tc>
          <w:tcPr>
            <w:tcW w:type="dxa" w:w="1728"/>
          </w:tcPr>
          <w:p>
            <w:r>
              <w:t>Configuration/history regression tests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</w:tbl>
    <w:p>
      <w:pPr>
        <w:pStyle w:val="Heading1"/>
      </w:pPr>
      <w:r>
        <w:t>4. Governing MADCR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MADCR</w:t>
            </w:r>
          </w:p>
        </w:tc>
        <w:tc>
          <w:tcPr>
            <w:tcW w:type="dxa" w:w="2160"/>
          </w:tcPr>
          <w:p>
            <w:r>
              <w:t>Invariant</w:t>
            </w:r>
          </w:p>
        </w:tc>
        <w:tc>
          <w:tcPr>
            <w:tcW w:type="dxa" w:w="2160"/>
          </w:tcPr>
          <w:p>
            <w:r>
              <w:t>AEP #3 Coverage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MADCR-036</w:t>
            </w:r>
          </w:p>
        </w:tc>
        <w:tc>
          <w:tcPr>
            <w:tcW w:type="dxa" w:w="2160"/>
          </w:tcPr>
          <w:p>
            <w:r>
              <w:t>Title Definition ≠ Award Instance</w:t>
            </w:r>
          </w:p>
        </w:tc>
        <w:tc>
          <w:tcPr>
            <w:tcW w:type="dxa" w:w="2160"/>
          </w:tcPr>
          <w:p>
            <w:r>
              <w:t>Target domain, schema, API, PRD, tests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MADCR-037</w:t>
            </w:r>
          </w:p>
        </w:tc>
        <w:tc>
          <w:tcPr>
            <w:tcW w:type="dxa" w:w="2160"/>
          </w:tcPr>
          <w:p>
            <w:r>
              <w:t>Title → Path Version → Rule Version → Award provenance; independent version boundaries</w:t>
            </w:r>
          </w:p>
        </w:tc>
        <w:tc>
          <w:tcPr>
            <w:tcW w:type="dxa" w:w="2160"/>
          </w:tcPr>
          <w:p>
            <w:r>
              <w:t>Architecture/schema/provenance tests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MADCR-041</w:t>
            </w:r>
          </w:p>
        </w:tc>
        <w:tc>
          <w:tcPr>
            <w:tcW w:type="dxa" w:w="2160"/>
          </w:tcPr>
          <w:p>
            <w:r>
              <w:t>Rule Version lifecycle and historical immutability</w:t>
            </w:r>
          </w:p>
        </w:tc>
        <w:tc>
          <w:tcPr>
            <w:tcW w:type="dxa" w:w="2160"/>
          </w:tcPr>
          <w:p>
            <w:r>
              <w:t>Rule Version schema/API/authorization/test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MADCR-046</w:t>
            </w:r>
          </w:p>
        </w:tc>
        <w:tc>
          <w:tcPr>
            <w:tcW w:type="dxa" w:w="2160"/>
          </w:tcPr>
          <w:p>
            <w:r>
              <w:t>Certificate/Credential ≠ Title/Award Instance</w:t>
            </w:r>
          </w:p>
        </w:tc>
        <w:tc>
          <w:tcPr>
            <w:tcW w:type="dxa" w:w="2160"/>
          </w:tcPr>
          <w:p>
            <w:r>
              <w:t>M04 isolation + Learning integration + regression tests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AEP2 integration boundary</w:t>
            </w:r>
          </w:p>
        </w:tc>
        <w:tc>
          <w:tcPr>
            <w:tcW w:type="dxa" w:w="2160"/>
          </w:tcPr>
          <w:p>
            <w:r>
              <w:t>Learning supplies evidence/outcomes; Awarding is authority</w:t>
            </w:r>
          </w:p>
        </w:tc>
        <w:tc>
          <w:tcPr>
            <w:tcW w:type="dxa" w:w="2160"/>
          </w:tcPr>
          <w:p>
            <w:r>
              <w:t>Cross-domain contract and tests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AEP3-OD-01</w:t>
            </w:r>
          </w:p>
        </w:tc>
        <w:tc>
          <w:tcPr>
            <w:tcW w:type="dxa" w:w="2160"/>
          </w:tcPr>
          <w:p>
            <w:r>
              <w:t>Stable Title Identity; no dedicated Title Identity Version</w:t>
            </w:r>
          </w:p>
        </w:tc>
        <w:tc>
          <w:tcPr>
            <w:tcW w:type="dxa" w:w="2160"/>
          </w:tcPr>
          <w:p>
            <w:r>
              <w:t>Schema/provenance model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AEP3-OD-06</w:t>
            </w:r>
          </w:p>
        </w:tc>
        <w:tc>
          <w:tcPr>
            <w:tcW w:type="dxa" w:w="2160"/>
          </w:tcPr>
          <w:p>
            <w:r>
              <w:t>Existing roles + capability permissions + Authority/Scope Binding</w:t>
            </w:r>
          </w:p>
        </w:tc>
        <w:tc>
          <w:tcPr>
            <w:tcW w:type="dxa" w:w="2160"/>
          </w:tcPr>
          <w:p>
            <w:r>
              <w:t>RBAC/API/RLS/test model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</w:tbl>
    <w:p>
      <w:pPr>
        <w:pStyle w:val="Heading1"/>
      </w:pPr>
      <w:r>
        <w:t>5. Critical Acceptance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Acceptance Scenario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Traceability</w:t>
            </w:r>
          </w:p>
        </w:tc>
      </w:tr>
      <w:tr>
        <w:tc>
          <w:tcPr>
            <w:tcW w:type="dxa" w:w="2160"/>
          </w:tcPr>
          <w:p>
            <w:r>
              <w:t>A3-ACC-001</w:t>
            </w:r>
          </w:p>
        </w:tc>
        <w:tc>
          <w:tcPr>
            <w:tcW w:type="dxa" w:w="2160"/>
          </w:tcPr>
          <w:p>
            <w:r>
              <w:t>Rename an existing Title</w:t>
            </w:r>
          </w:p>
        </w:tc>
        <w:tc>
          <w:tcPr>
            <w:tcW w:type="dxa" w:w="2160"/>
          </w:tcPr>
          <w:p>
            <w:r>
              <w:t>Title identity remains stable; no new Award created.</w:t>
            </w:r>
          </w:p>
        </w:tc>
        <w:tc>
          <w:tcPr>
            <w:tcW w:type="dxa" w:w="2160"/>
          </w:tcPr>
          <w:p>
            <w:r>
              <w:t>BR-031–034; OD-01</w:t>
            </w:r>
          </w:p>
        </w:tc>
      </w:tr>
      <w:tr>
        <w:tc>
          <w:tcPr>
            <w:tcW w:type="dxa" w:w="2160"/>
          </w:tcPr>
          <w:p>
            <w:r>
              <w:t>A3-ACC-002</w:t>
            </w:r>
          </w:p>
        </w:tc>
        <w:tc>
          <w:tcPr>
            <w:tcW w:type="dxa" w:w="2160"/>
          </w:tcPr>
          <w:p>
            <w:r>
              <w:t>Material Rule change after prior Award</w:t>
            </w:r>
          </w:p>
        </w:tc>
        <w:tc>
          <w:tcPr>
            <w:tcW w:type="dxa" w:w="2160"/>
          </w:tcPr>
          <w:p>
            <w:r>
              <w:t>New Rule Version; prior Award remains bound to historical version.</w:t>
            </w:r>
          </w:p>
        </w:tc>
        <w:tc>
          <w:tcPr>
            <w:tcW w:type="dxa" w:w="2160"/>
          </w:tcPr>
          <w:p>
            <w:r>
              <w:t>BR-021, 037–040, 051; MADCR-041</w:t>
            </w:r>
          </w:p>
        </w:tc>
      </w:tr>
      <w:tr>
        <w:tc>
          <w:tcPr>
            <w:tcW w:type="dxa" w:w="2160"/>
          </w:tcPr>
          <w:p>
            <w:r>
              <w:t>A3-ACC-003</w:t>
            </w:r>
          </w:p>
        </w:tc>
        <w:tc>
          <w:tcPr>
            <w:tcW w:type="dxa" w:w="2160"/>
          </w:tcPr>
          <w:p>
            <w:r>
              <w:t>Path change after prior Award</w:t>
            </w:r>
          </w:p>
        </w:tc>
        <w:tc>
          <w:tcPr>
            <w:tcW w:type="dxa" w:w="2160"/>
          </w:tcPr>
          <w:p>
            <w:r>
              <w:t>New Path Version; prior Award provenance remains unchanged.</w:t>
            </w:r>
          </w:p>
        </w:tc>
        <w:tc>
          <w:tcPr>
            <w:tcW w:type="dxa" w:w="2160"/>
          </w:tcPr>
          <w:p>
            <w:r>
              <w:t>BR-037–039; MADCR-037</w:t>
            </w:r>
          </w:p>
        </w:tc>
      </w:tr>
      <w:tr>
        <w:tc>
          <w:tcPr>
            <w:tcW w:type="dxa" w:w="2160"/>
          </w:tcPr>
          <w:p>
            <w:r>
              <w:t>A3-ACC-004</w:t>
            </w:r>
          </w:p>
        </w:tc>
        <w:tc>
          <w:tcPr>
            <w:tcW w:type="dxa" w:w="2160"/>
          </w:tcPr>
          <w:p>
            <w:r>
              <w:t>Agent completes all prerequisites</w:t>
            </w:r>
          </w:p>
        </w:tc>
        <w:tc>
          <w:tcPr>
            <w:tcW w:type="dxa" w:w="2160"/>
          </w:tcPr>
          <w:p>
            <w:r>
              <w:t>Qualification succeeds and governed Award Instance is created.</w:t>
            </w:r>
          </w:p>
        </w:tc>
        <w:tc>
          <w:tcPr>
            <w:tcW w:type="dxa" w:w="2160"/>
          </w:tcPr>
          <w:p>
            <w:r>
              <w:t>BR-014–021</w:t>
            </w:r>
          </w:p>
        </w:tc>
      </w:tr>
      <w:tr>
        <w:tc>
          <w:tcPr>
            <w:tcW w:type="dxa" w:w="2160"/>
          </w:tcPr>
          <w:p>
            <w:r>
              <w:t>A3-ACC-005</w:t>
            </w:r>
          </w:p>
        </w:tc>
        <w:tc>
          <w:tcPr>
            <w:tcW w:type="dxa" w:w="2160"/>
          </w:tcPr>
          <w:p>
            <w:r>
              <w:t>Agent missing prerequisite</w:t>
            </w:r>
          </w:p>
        </w:tc>
        <w:tc>
          <w:tcPr>
            <w:tcW w:type="dxa" w:w="2160"/>
          </w:tcPr>
          <w:p>
            <w:r>
              <w:t>No Award; unmet requirement is reported.</w:t>
            </w:r>
          </w:p>
        </w:tc>
        <w:tc>
          <w:tcPr>
            <w:tcW w:type="dxa" w:w="2160"/>
          </w:tcPr>
          <w:p>
            <w:r>
              <w:t>BR-014–020</w:t>
            </w:r>
          </w:p>
        </w:tc>
      </w:tr>
      <w:tr>
        <w:tc>
          <w:tcPr>
            <w:tcW w:type="dxa" w:w="2160"/>
          </w:tcPr>
          <w:p>
            <w:r>
              <w:t>A3-ACC-006</w:t>
            </w:r>
          </w:p>
        </w:tc>
        <w:tc>
          <w:tcPr>
            <w:tcW w:type="dxa" w:w="2160"/>
          </w:tcPr>
          <w:p>
            <w:r>
              <w:t>Learning certificate exists but Title criteria not met</w:t>
            </w:r>
          </w:p>
        </w:tc>
        <w:tc>
          <w:tcPr>
            <w:tcW w:type="dxa" w:w="2160"/>
          </w:tcPr>
          <w:p>
            <w:r>
              <w:t>No automatic Award.</w:t>
            </w:r>
          </w:p>
        </w:tc>
        <w:tc>
          <w:tcPr>
            <w:tcW w:type="dxa" w:w="2160"/>
          </w:tcPr>
          <w:p>
            <w:r>
              <w:t>MADCR-046; AEP2 boundary</w:t>
            </w:r>
          </w:p>
        </w:tc>
      </w:tr>
      <w:tr>
        <w:tc>
          <w:tcPr>
            <w:tcW w:type="dxa" w:w="2160"/>
          </w:tcPr>
          <w:p>
            <w:r>
              <w:t>A3-ACC-007</w:t>
            </w:r>
          </w:p>
        </w:tc>
        <w:tc>
          <w:tcPr>
            <w:tcW w:type="dxa" w:w="2160"/>
          </w:tcPr>
          <w:p>
            <w:r>
              <w:t>Multiple qualifying paths satisfied</w:t>
            </w:r>
          </w:p>
        </w:tc>
        <w:tc>
          <w:tcPr>
            <w:tcW w:type="dxa" w:w="2160"/>
          </w:tcPr>
          <w:p>
            <w:r>
              <w:t>Historical qualifying path provenance retained without unintended duplicate ownership Award.</w:t>
            </w:r>
          </w:p>
        </w:tc>
        <w:tc>
          <w:tcPr>
            <w:tcW w:type="dxa" w:w="2160"/>
          </w:tcPr>
          <w:p>
            <w:r>
              <w:t>BR-042, 050–052</w:t>
            </w:r>
          </w:p>
        </w:tc>
      </w:tr>
      <w:tr>
        <w:tc>
          <w:tcPr>
            <w:tcW w:type="dxa" w:w="2160"/>
          </w:tcPr>
          <w:p>
            <w:r>
              <w:t>A3-ACC-008</w:t>
            </w:r>
          </w:p>
        </w:tc>
        <w:tc>
          <w:tcPr>
            <w:tcW w:type="dxa" w:w="2160"/>
          </w:tcPr>
          <w:p>
            <w:r>
              <w:t>Prerequisite later revoked</w:t>
            </w:r>
          </w:p>
        </w:tc>
        <w:tc>
          <w:tcPr>
            <w:tcW w:type="dxa" w:w="2160"/>
          </w:tcPr>
          <w:p>
            <w:r>
              <w:t>Award remains unless Title validity policy explicitly couples the states.</w:t>
            </w:r>
          </w:p>
        </w:tc>
        <w:tc>
          <w:tcPr>
            <w:tcW w:type="dxa" w:w="2160"/>
          </w:tcPr>
          <w:p>
            <w:r>
              <w:t>BR-040</w:t>
            </w:r>
          </w:p>
        </w:tc>
      </w:tr>
      <w:tr>
        <w:tc>
          <w:tcPr>
            <w:tcW w:type="dxa" w:w="2160"/>
          </w:tcPr>
          <w:p>
            <w:r>
              <w:t>A3-ACC-009</w:t>
            </w:r>
          </w:p>
        </w:tc>
        <w:tc>
          <w:tcPr>
            <w:tcW w:type="dxa" w:w="2160"/>
          </w:tcPr>
          <w:p>
            <w:r>
              <w:t>Award revoked then appealed successfully</w:t>
            </w:r>
          </w:p>
        </w:tc>
        <w:tc>
          <w:tcPr>
            <w:tcW w:type="dxa" w:w="2160"/>
          </w:tcPr>
          <w:p>
            <w:r>
              <w:t>Same Award Instance restored; no duplicate Award.</w:t>
            </w:r>
          </w:p>
        </w:tc>
        <w:tc>
          <w:tcPr>
            <w:tcW w:type="dxa" w:w="2160"/>
          </w:tcPr>
          <w:p>
            <w:r>
              <w:t>BR-081–090</w:t>
            </w:r>
          </w:p>
        </w:tc>
      </w:tr>
      <w:tr>
        <w:tc>
          <w:tcPr>
            <w:tcW w:type="dxa" w:w="2160"/>
          </w:tcPr>
          <w:p>
            <w:r>
              <w:t>A3-ACC-010</w:t>
            </w:r>
          </w:p>
        </w:tc>
        <w:tc>
          <w:tcPr>
            <w:tcW w:type="dxa" w:w="2160"/>
          </w:tcPr>
          <w:p>
            <w:r>
              <w:t>Appeal submitted after deadline</w:t>
            </w:r>
          </w:p>
        </w:tc>
        <w:tc>
          <w:tcPr>
            <w:tcW w:type="dxa" w:w="2160"/>
          </w:tcPr>
          <w:p>
            <w:r>
              <w:t>Submission rejected based on revocation timestamp policy.</w:t>
            </w:r>
          </w:p>
        </w:tc>
        <w:tc>
          <w:tcPr>
            <w:tcW w:type="dxa" w:w="2160"/>
          </w:tcPr>
          <w:p>
            <w:r>
              <w:t>BR-081–083</w:t>
            </w:r>
          </w:p>
        </w:tc>
      </w:tr>
      <w:tr>
        <w:tc>
          <w:tcPr>
            <w:tcW w:type="dxa" w:w="2160"/>
          </w:tcPr>
          <w:p>
            <w:r>
              <w:t>A3-ACC-011</w:t>
            </w:r>
          </w:p>
        </w:tc>
        <w:tc>
          <w:tcPr>
            <w:tcW w:type="dxa" w:w="2160"/>
          </w:tcPr>
          <w:p>
            <w:r>
              <w:t>Expired Award is Featured</w:t>
            </w:r>
          </w:p>
        </w:tc>
        <w:tc>
          <w:tcPr>
            <w:tcW w:type="dxa" w:w="2160"/>
          </w:tcPr>
          <w:p>
            <w:r>
              <w:t>Allowed only if policy permits; expired status remains visible.</w:t>
            </w:r>
          </w:p>
        </w:tc>
        <w:tc>
          <w:tcPr>
            <w:tcW w:type="dxa" w:w="2160"/>
          </w:tcPr>
          <w:p>
            <w:r>
              <w:t>BR-096–100</w:t>
            </w:r>
          </w:p>
        </w:tc>
      </w:tr>
      <w:tr>
        <w:tc>
          <w:tcPr>
            <w:tcW w:type="dxa" w:w="2160"/>
          </w:tcPr>
          <w:p>
            <w:r>
              <w:t>A3-ACC-012</w:t>
            </w:r>
          </w:p>
        </w:tc>
        <w:tc>
          <w:tcPr>
            <w:tcW w:type="dxa" w:w="2160"/>
          </w:tcPr>
          <w:p>
            <w:r>
              <w:t>Revoked Award is Featured</w:t>
            </w:r>
          </w:p>
        </w:tc>
        <w:tc>
          <w:tcPr>
            <w:tcW w:type="dxa" w:w="2160"/>
          </w:tcPr>
          <w:p>
            <w:r>
              <w:t>System prevents/removes Featured state.</w:t>
            </w:r>
          </w:p>
        </w:tc>
        <w:tc>
          <w:tcPr>
            <w:tcW w:type="dxa" w:w="2160"/>
          </w:tcPr>
          <w:p>
            <w:r>
              <w:t>BR-096–100</w:t>
            </w:r>
          </w:p>
        </w:tc>
      </w:tr>
      <w:tr>
        <w:tc>
          <w:tcPr>
            <w:tcW w:type="dxa" w:w="2160"/>
          </w:tcPr>
          <w:p>
            <w:r>
              <w:t>A3-ACC-013</w:t>
            </w:r>
          </w:p>
        </w:tc>
        <w:tc>
          <w:tcPr>
            <w:tcW w:type="dxa" w:w="2160"/>
          </w:tcPr>
          <w:p>
            <w:r>
              <w:t>Agent removes Featured</w:t>
            </w:r>
          </w:p>
        </w:tc>
        <w:tc>
          <w:tcPr>
            <w:tcW w:type="dxa" w:w="2160"/>
          </w:tcPr>
          <w:p>
            <w:r>
              <w:t>Award remains intact.</w:t>
            </w:r>
          </w:p>
        </w:tc>
        <w:tc>
          <w:tcPr>
            <w:tcW w:type="dxa" w:w="2160"/>
          </w:tcPr>
          <w:p>
            <w:r>
              <w:t>BR-099</w:t>
            </w:r>
          </w:p>
        </w:tc>
      </w:tr>
      <w:tr>
        <w:tc>
          <w:tcPr>
            <w:tcW w:type="dxa" w:w="2160"/>
          </w:tcPr>
          <w:p>
            <w:r>
              <w:t>A3-ACC-014</w:t>
            </w:r>
          </w:p>
        </w:tc>
        <w:tc>
          <w:tcPr>
            <w:tcW w:type="dxa" w:w="2160"/>
          </w:tcPr>
          <w:p>
            <w:r>
              <w:t>Actor has award.issue permission but no Title authority binding</w:t>
            </w:r>
          </w:p>
        </w:tc>
        <w:tc>
          <w:tcPr>
            <w:tcW w:type="dxa" w:w="2160"/>
          </w:tcPr>
          <w:p>
            <w:r>
              <w:t>Authorization denied.</w:t>
            </w:r>
          </w:p>
        </w:tc>
        <w:tc>
          <w:tcPr>
            <w:tcW w:type="dxa" w:w="2160"/>
          </w:tcPr>
          <w:p>
            <w:r>
              <w:t>OD-06; authority boundary</w:t>
            </w:r>
          </w:p>
        </w:tc>
      </w:tr>
      <w:tr>
        <w:tc>
          <w:tcPr>
            <w:tcW w:type="dxa" w:w="2160"/>
          </w:tcPr>
          <w:p>
            <w:r>
              <w:t>A3-ACC-015</w:t>
            </w:r>
          </w:p>
        </w:tc>
        <w:tc>
          <w:tcPr>
            <w:tcW w:type="dxa" w:w="2160"/>
          </w:tcPr>
          <w:p>
            <w:r>
              <w:t>Instructor has Learning authority only</w:t>
            </w:r>
          </w:p>
        </w:tc>
        <w:tc>
          <w:tcPr>
            <w:tcW w:type="dxa" w:w="2160"/>
          </w:tcPr>
          <w:p>
            <w:r>
              <w:t>Instructor cannot issue Award unless separately authorized.</w:t>
            </w:r>
          </w:p>
        </w:tc>
        <w:tc>
          <w:tcPr>
            <w:tcW w:type="dxa" w:w="2160"/>
          </w:tcPr>
          <w:p>
            <w:r>
              <w:t>AEP2/RBAC boundary</w:t>
            </w:r>
          </w:p>
        </w:tc>
      </w:tr>
      <w:tr>
        <w:tc>
          <w:tcPr>
            <w:tcW w:type="dxa" w:w="2160"/>
          </w:tcPr>
          <w:p>
            <w:r>
              <w:t>A3-ACC-016</w:t>
            </w:r>
          </w:p>
        </w:tc>
        <w:tc>
          <w:tcPr>
            <w:tcW w:type="dxa" w:w="2160"/>
          </w:tcPr>
          <w:p>
            <w:r>
              <w:t>Partner submits accepted learning outcome</w:t>
            </w:r>
          </w:p>
        </w:tc>
        <w:tc>
          <w:tcPr>
            <w:tcW w:type="dxa" w:w="2160"/>
          </w:tcPr>
          <w:p>
            <w:r>
              <w:t>Outcome can become evidence only where Path/Rule permits; no automatic issuer authority.</w:t>
            </w:r>
          </w:p>
        </w:tc>
        <w:tc>
          <w:tcPr>
            <w:tcW w:type="dxa" w:w="2160"/>
          </w:tcPr>
          <w:p>
            <w:r>
              <w:t>Partner boundary</w:t>
            </w:r>
          </w:p>
        </w:tc>
      </w:tr>
      <w:tr>
        <w:tc>
          <w:tcPr>
            <w:tcW w:type="dxa" w:w="2160"/>
          </w:tcPr>
          <w:p>
            <w:r>
              <w:t>A3-ACC-017</w:t>
            </w:r>
          </w:p>
        </w:tc>
        <w:tc>
          <w:tcPr>
            <w:tcW w:type="dxa" w:w="2160"/>
          </w:tcPr>
          <w:p>
            <w:r>
              <w:t>Payment confirmed</w:t>
            </w:r>
          </w:p>
        </w:tc>
        <w:tc>
          <w:tcPr>
            <w:tcW w:type="dxa" w:w="2160"/>
          </w:tcPr>
          <w:p>
            <w:r>
              <w:t>Payment alone does not create Award unless Awarding Rule explicitly requires it and qualification succeeds.</w:t>
            </w:r>
          </w:p>
        </w:tc>
        <w:tc>
          <w:tcPr>
            <w:tcW w:type="dxa" w:w="2160"/>
          </w:tcPr>
          <w:p>
            <w:r>
              <w:t>Commercial boundary</w:t>
            </w:r>
          </w:p>
        </w:tc>
      </w:tr>
      <w:tr>
        <w:tc>
          <w:tcPr>
            <w:tcW w:type="dxa" w:w="2160"/>
          </w:tcPr>
          <w:p>
            <w:r>
              <w:t>A3-ACC-018</w:t>
            </w:r>
          </w:p>
        </w:tc>
        <w:tc>
          <w:tcPr>
            <w:tcW w:type="dxa" w:w="2160"/>
          </w:tcPr>
          <w:p>
            <w:r>
              <w:t>Retry award issuance</w:t>
            </w:r>
          </w:p>
        </w:tc>
        <w:tc>
          <w:tcPr>
            <w:tcW w:type="dxa" w:w="2160"/>
          </w:tcPr>
          <w:p>
            <w:r>
              <w:t>No unintended duplicate Award when repeat policy disallows duplication.</w:t>
            </w:r>
          </w:p>
        </w:tc>
        <w:tc>
          <w:tcPr>
            <w:tcW w:type="dxa" w:w="2160"/>
          </w:tcPr>
          <w:p>
            <w:r>
              <w:t>BR-021–028; idempotency</w:t>
            </w:r>
          </w:p>
        </w:tc>
      </w:tr>
      <w:tr>
        <w:tc>
          <w:tcPr>
            <w:tcW w:type="dxa" w:w="2160"/>
          </w:tcPr>
          <w:p>
            <w:r>
              <w:t>A3-ACC-019</w:t>
            </w:r>
          </w:p>
        </w:tc>
        <w:tc>
          <w:tcPr>
            <w:tcW w:type="dxa" w:w="2160"/>
          </w:tcPr>
          <w:p>
            <w:r>
              <w:t>Historical Award inspected after current Title configuration changes</w:t>
            </w:r>
          </w:p>
        </w:tc>
        <w:tc>
          <w:tcPr>
            <w:tcW w:type="dxa" w:w="2160"/>
          </w:tcPr>
          <w:p>
            <w:r>
              <w:t>Historical provenance remains explainable.</w:t>
            </w:r>
          </w:p>
        </w:tc>
        <w:tc>
          <w:tcPr>
            <w:tcW w:type="dxa" w:w="2160"/>
          </w:tcPr>
          <w:p>
            <w:r>
              <w:t>BR-023–024, 051–052</w:t>
            </w:r>
          </w:p>
        </w:tc>
      </w:tr>
      <w:tr>
        <w:tc>
          <w:tcPr>
            <w:tcW w:type="dxa" w:w="2160"/>
          </w:tcPr>
          <w:p>
            <w:r>
              <w:t>A3-ACC-020</w:t>
            </w:r>
          </w:p>
        </w:tc>
        <w:tc>
          <w:tcPr>
            <w:tcW w:type="dxa" w:w="2160"/>
          </w:tcPr>
          <w:p>
            <w:r>
              <w:t>Unauthorized user attempts lifecycle mutation</w:t>
            </w:r>
          </w:p>
        </w:tc>
        <w:tc>
          <w:tcPr>
            <w:tcW w:type="dxa" w:w="2160"/>
          </w:tcPr>
          <w:p>
            <w:r>
              <w:t>RBAC + Authority/Scope + RLS deny operation.</w:t>
            </w:r>
          </w:p>
        </w:tc>
        <w:tc>
          <w:tcPr>
            <w:tcW w:type="dxa" w:w="2160"/>
          </w:tcPr>
          <w:p>
            <w:r>
              <w:t>OD-06; security boundary</w:t>
            </w:r>
          </w:p>
        </w:tc>
      </w:tr>
    </w:tbl>
    <w:p>
      <w:pPr>
        <w:pStyle w:val="Heading1"/>
      </w:pPr>
      <w:r>
        <w:t>6. Traceability to Technical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Schema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RBAC/User Flow/Test</w:t>
            </w:r>
          </w:p>
        </w:tc>
      </w:tr>
      <w:tr>
        <w:tc>
          <w:tcPr>
            <w:tcW w:type="dxa" w:w="2160"/>
          </w:tcPr>
          <w:p>
            <w:r>
              <w:t>Title identity / rename</w:t>
            </w:r>
          </w:p>
        </w:tc>
        <w:tc>
          <w:tcPr>
            <w:tcW w:type="dxa" w:w="2160"/>
          </w:tcPr>
          <w:p>
            <w:r>
              <w:t>Title Definition</w:t>
            </w:r>
          </w:p>
        </w:tc>
        <w:tc>
          <w:tcPr>
            <w:tcW w:type="dxa" w:w="2160"/>
          </w:tcPr>
          <w:p>
            <w:r>
              <w:t>Title resource</w:t>
            </w:r>
          </w:p>
        </w:tc>
        <w:tc>
          <w:tcPr>
            <w:tcW w:type="dxa" w:w="2160"/>
          </w:tcPr>
          <w:p>
            <w:r>
              <w:t>Catalog + acceptance</w:t>
            </w:r>
          </w:p>
        </w:tc>
      </w:tr>
      <w:tr>
        <w:tc>
          <w:tcPr>
            <w:tcW w:type="dxa" w:w="2160"/>
          </w:tcPr>
          <w:p>
            <w:r>
              <w:t>Path/Rule versioning</w:t>
            </w:r>
          </w:p>
        </w:tc>
        <w:tc>
          <w:tcPr>
            <w:tcW w:type="dxa" w:w="2160"/>
          </w:tcPr>
          <w:p>
            <w:r>
              <w:t>Path/Rule Version entities</w:t>
            </w:r>
          </w:p>
        </w:tc>
        <w:tc>
          <w:tcPr>
            <w:tcW w:type="dxa" w:w="2160"/>
          </w:tcPr>
          <w:p>
            <w:r>
              <w:t>Version resources</w:t>
            </w:r>
          </w:p>
        </w:tc>
        <w:tc>
          <w:tcPr>
            <w:tcW w:type="dxa" w:w="2160"/>
          </w:tcPr>
          <w:p>
            <w:r>
              <w:t>Issuer flow + version tests</w:t>
            </w:r>
          </w:p>
        </w:tc>
      </w:tr>
      <w:tr>
        <w:tc>
          <w:tcPr>
            <w:tcW w:type="dxa" w:w="2160"/>
          </w:tcPr>
          <w:p>
            <w:r>
              <w:t>Qualification</w:t>
            </w:r>
          </w:p>
        </w:tc>
        <w:tc>
          <w:tcPr>
            <w:tcW w:type="dxa" w:w="2160"/>
          </w:tcPr>
          <w:p>
            <w:r>
              <w:t>Evaluation + evidence</w:t>
            </w:r>
          </w:p>
        </w:tc>
        <w:tc>
          <w:tcPr>
            <w:tcW w:type="dxa" w:w="2160"/>
          </w:tcPr>
          <w:p>
            <w:r>
              <w:t>Qualification APIs</w:t>
            </w:r>
          </w:p>
        </w:tc>
        <w:tc>
          <w:tcPr>
            <w:tcW w:type="dxa" w:w="2160"/>
          </w:tcPr>
          <w:p>
            <w:r>
              <w:t>Qualification tests</w:t>
            </w:r>
          </w:p>
        </w:tc>
      </w:tr>
      <w:tr>
        <w:tc>
          <w:tcPr>
            <w:tcW w:type="dxa" w:w="2160"/>
          </w:tcPr>
          <w:p>
            <w:r>
              <w:t>Award lifecycle</w:t>
            </w:r>
          </w:p>
        </w:tc>
        <w:tc>
          <w:tcPr>
            <w:tcW w:type="dxa" w:w="2160"/>
          </w:tcPr>
          <w:p>
            <w:r>
              <w:t>Award + lifecycle history</w:t>
            </w:r>
          </w:p>
        </w:tc>
        <w:tc>
          <w:tcPr>
            <w:tcW w:type="dxa" w:w="2160"/>
          </w:tcPr>
          <w:p>
            <w:r>
              <w:t>Lifecycle APIs</w:t>
            </w:r>
          </w:p>
        </w:tc>
        <w:tc>
          <w:tcPr>
            <w:tcW w:type="dxa" w:w="2160"/>
          </w:tcPr>
          <w:p>
            <w:r>
              <w:t>Lifecycle state tests</w:t>
            </w:r>
          </w:p>
        </w:tc>
      </w:tr>
      <w:tr>
        <w:tc>
          <w:tcPr>
            <w:tcW w:type="dxa" w:w="2160"/>
          </w:tcPr>
          <w:p>
            <w:r>
              <w:t>Appeal</w:t>
            </w:r>
          </w:p>
        </w:tc>
        <w:tc>
          <w:tcPr>
            <w:tcW w:type="dxa" w:w="2160"/>
          </w:tcPr>
          <w:p>
            <w:r>
              <w:t>Appeal + history</w:t>
            </w:r>
          </w:p>
        </w:tc>
        <w:tc>
          <w:tcPr>
            <w:tcW w:type="dxa" w:w="2160"/>
          </w:tcPr>
          <w:p>
            <w:r>
              <w:t>Appeal APIs</w:t>
            </w:r>
          </w:p>
        </w:tc>
        <w:tc>
          <w:tcPr>
            <w:tcW w:type="dxa" w:w="2160"/>
          </w:tcPr>
          <w:p>
            <w:r>
              <w:t>Appeal workflow tests</w:t>
            </w:r>
          </w:p>
        </w:tc>
      </w:tr>
      <w:tr>
        <w:tc>
          <w:tcPr>
            <w:tcW w:type="dxa" w:w="2160"/>
          </w:tcPr>
          <w:p>
            <w:r>
              <w:t>Presentation</w:t>
            </w:r>
          </w:p>
        </w:tc>
        <w:tc>
          <w:tcPr>
            <w:tcW w:type="dxa" w:w="2160"/>
          </w:tcPr>
          <w:p>
            <w:r>
              <w:t>Presentation preferences</w:t>
            </w:r>
          </w:p>
        </w:tc>
        <w:tc>
          <w:tcPr>
            <w:tcW w:type="dxa" w:w="2160"/>
          </w:tcPr>
          <w:p>
            <w:r>
              <w:t>Presentation APIs</w:t>
            </w:r>
          </w:p>
        </w:tc>
        <w:tc>
          <w:tcPr>
            <w:tcW w:type="dxa" w:w="2160"/>
          </w:tcPr>
          <w:p>
            <w:r>
              <w:t>Primary/Featured tests</w:t>
            </w:r>
          </w:p>
        </w:tc>
      </w:tr>
      <w:tr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Authority/Scope Binding</w:t>
            </w:r>
          </w:p>
        </w:tc>
        <w:tc>
          <w:tcPr>
            <w:tcW w:type="dxa" w:w="2160"/>
          </w:tcPr>
          <w:p>
            <w:r>
              <w:t>Authorization checks</w:t>
            </w:r>
          </w:p>
        </w:tc>
        <w:tc>
          <w:tcPr>
            <w:tcW w:type="dxa" w:w="2160"/>
          </w:tcPr>
          <w:p>
            <w:r>
              <w:t>RBAC/RLS/scope tests</w:t>
            </w:r>
          </w:p>
        </w:tc>
      </w:tr>
      <w:tr>
        <w:tc>
          <w:tcPr>
            <w:tcW w:type="dxa" w:w="2160"/>
          </w:tcPr>
          <w:p>
            <w:r>
              <w:t>Certificate separation</w:t>
            </w:r>
          </w:p>
        </w:tc>
        <w:tc>
          <w:tcPr>
            <w:tcW w:type="dxa" w:w="2160"/>
          </w:tcPr>
          <w:p>
            <w:r>
              <w:t>Existing M04 Certificate isolated</w:t>
            </w:r>
          </w:p>
        </w:tc>
        <w:tc>
          <w:tcPr>
            <w:tcW w:type="dxa" w:w="2160"/>
          </w:tcPr>
          <w:p>
            <w:r>
              <w:t>/agents/me/certificates remains M04</w:t>
            </w:r>
          </w:p>
        </w:tc>
        <w:tc>
          <w:tcPr>
            <w:tcW w:type="dxa" w:w="2160"/>
          </w:tcPr>
          <w:p>
            <w:r>
              <w:t>Regression test</w:t>
            </w:r>
          </w:p>
        </w:tc>
      </w:tr>
    </w:tbl>
    <w:p>
      <w:pPr>
        <w:pStyle w:val="Heading1"/>
      </w:pPr>
      <w:r>
        <w:t>7. Residual Gaps / Controlled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Residual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Treatment</w:t>
            </w:r>
          </w:p>
        </w:tc>
      </w:tr>
      <w:tr>
        <w:tc>
          <w:tcPr>
            <w:tcW w:type="dxa" w:w="2160"/>
          </w:tcPr>
          <w:p>
            <w:r>
              <w:t>AEP3-OD-02</w:t>
            </w:r>
          </w:p>
        </w:tc>
        <w:tc>
          <w:tcPr>
            <w:tcW w:type="dxa" w:w="2160"/>
          </w:tcPr>
          <w:p>
            <w:r>
              <w:t>Exact Authority/Scope cardinality for Agency/Organization/Partner/Platform.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Must be resolved before physical authority schema/RLS finalization.</w:t>
            </w:r>
          </w:p>
        </w:tc>
      </w:tr>
      <w:tr>
        <w:tc>
          <w:tcPr>
            <w:tcW w:type="dxa" w:w="2160"/>
          </w:tcPr>
          <w:p>
            <w:r>
              <w:t>AEP3-OD-03</w:t>
            </w:r>
          </w:p>
        </w:tc>
        <w:tc>
          <w:tcPr>
            <w:tcW w:type="dxa" w:w="2160"/>
          </w:tcPr>
          <w:p>
            <w:r>
              <w:t>Lifecycle/Appeal storage mechanism.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Engineering implementation choice; historical integrity is already required.</w:t>
            </w:r>
          </w:p>
        </w:tc>
      </w:tr>
      <w:tr>
        <w:tc>
          <w:tcPr>
            <w:tcW w:type="dxa" w:w="2160"/>
          </w:tcPr>
          <w:p>
            <w:r>
              <w:t>AEP3-OD-04</w:t>
            </w:r>
          </w:p>
        </w:tc>
        <w:tc>
          <w:tcPr>
            <w:tcW w:type="dxa" w:w="2160"/>
          </w:tcPr>
          <w:p>
            <w:r>
              <w:t>Rule lineage cardinality.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 not invent FK/cardinality beyond provenance requirement.</w:t>
            </w:r>
          </w:p>
        </w:tc>
      </w:tr>
      <w:tr>
        <w:tc>
          <w:tcPr>
            <w:tcW w:type="dxa" w:w="2160"/>
          </w:tcPr>
          <w:p>
            <w:r>
              <w:t>AEP3-OD-05</w:t>
            </w:r>
          </w:p>
        </w:tc>
        <w:tc>
          <w:tcPr>
            <w:tcW w:type="dxa" w:w="2160"/>
          </w:tcPr>
          <w:p>
            <w:r>
              <w:t>Rule temporal/effective-date semantics.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 not introduce effective_from/effective_to invariant without evidence.</w:t>
            </w:r>
          </w:p>
        </w:tc>
      </w:tr>
      <w:tr>
        <w:tc>
          <w:tcPr>
            <w:tcW w:type="dxa" w:w="2160"/>
          </w:tcPr>
          <w:p>
            <w:r>
              <w:t>Implementation-level</w:t>
            </w:r>
          </w:p>
        </w:tc>
        <w:tc>
          <w:tcPr>
            <w:tcW w:type="dxa" w:w="2160"/>
          </w:tcPr>
          <w:p>
            <w:r>
              <w:t>Exact endpoint names, permission IDs, physical migrations, transaction mechanism.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Downstream implementation/contract work, not business-rule blocker.</w:t>
            </w:r>
          </w:p>
        </w:tc>
      </w:tr>
    </w:tbl>
    <w:p>
      <w:pPr>
        <w:pStyle w:val="Heading1"/>
      </w:pPr>
      <w:r>
        <w:t>8. Coverage Assessment</w:t>
      </w:r>
    </w:p>
    <w:p>
      <w:r>
        <w:rPr>
          <w:b/>
        </w:rPr>
        <w:t>SEMANTIC COVERAGE: PASS</w:t>
      </w:r>
    </w:p>
    <w:p>
      <w:r>
        <w:t>All major Title Business Rule clusters have an identified target architecture capability and acceptance/test intent. All governing MADCRs used by AEP #3 have explicit traceability. Remaining gaps are controlled downstream decisions, not unidentified business-rule contradictions.</w:t>
      </w:r>
    </w:p>
    <w:p>
      <w:pPr>
        <w:pStyle w:val="Heading1"/>
      </w:pPr>
      <w:r>
        <w:t>9. AEP #3 Completion Gate — Preliminary</w:t>
      </w:r>
    </w:p>
    <w:p>
      <w:pPr>
        <w:pStyle w:val="ListBullet"/>
      </w:pPr>
      <w:r>
        <w:t>Business Rule baseline: PASS.</w:t>
      </w:r>
    </w:p>
    <w:p>
      <w:pPr>
        <w:pStyle w:val="ListBullet"/>
      </w:pPr>
      <w:r>
        <w:t>Governance/MADCR alignment: PASS.</w:t>
      </w:r>
    </w:p>
    <w:p>
      <w:pPr>
        <w:pStyle w:val="ListBullet"/>
      </w:pPr>
      <w:r>
        <w:t>Target domain architecture: PASS.</w:t>
      </w:r>
    </w:p>
    <w:p>
      <w:pPr>
        <w:pStyle w:val="ListBullet"/>
      </w:pPr>
      <w:r>
        <w:t>Logical schema impact: PASS.</w:t>
      </w:r>
    </w:p>
    <w:p>
      <w:pPr>
        <w:pStyle w:val="ListBullet"/>
      </w:pPr>
      <w:r>
        <w:t>API semantic impact: PASS.</w:t>
      </w:r>
    </w:p>
    <w:p>
      <w:pPr>
        <w:pStyle w:val="ListBullet"/>
      </w:pPr>
      <w:r>
        <w:t>RBAC/authority model: PASS after OD-06 B.</w:t>
      </w:r>
    </w:p>
    <w:p>
      <w:pPr>
        <w:pStyle w:val="ListBullet"/>
      </w:pPr>
      <w:r>
        <w:t>User flow: PASS.</w:t>
      </w:r>
    </w:p>
    <w:p>
      <w:pPr>
        <w:pStyle w:val="ListBullet"/>
      </w:pPr>
      <w:r>
        <w:t>PRD impact: PASS.</w:t>
      </w:r>
    </w:p>
    <w:p>
      <w:pPr>
        <w:pStyle w:val="ListBullet"/>
      </w:pPr>
      <w:r>
        <w:t>Engineering/service boundary: PASS.</w:t>
      </w:r>
    </w:p>
    <w:p>
      <w:pPr>
        <w:pStyle w:val="ListBullet"/>
      </w:pPr>
      <w:r>
        <w:t>Traceability/acceptance coverage: PASS.</w:t>
      </w:r>
    </w:p>
    <w:p>
      <w:pPr>
        <w:pStyle w:val="ListBullet"/>
      </w:pPr>
      <w:r>
        <w:t>Physical implementation authorization: NOT YET GRANTED.</w:t>
      </w:r>
    </w:p>
    <w:p>
      <w:pPr>
        <w:pStyle w:val="Heading1"/>
      </w:pPr>
      <w:r>
        <w:t>10. Next Gate</w:t>
      </w:r>
    </w:p>
    <w:p>
      <w:r>
        <w:t>AEP #3 is now semantically architecture-complete, subject to controlled downstream closure of AEP3-OD-02/03/04/05 where their details become necessary. The next process step is not coding. It is a formal AEP #3 Consolidation &amp; Architecture Review artifact that merges Impact 01–10, OD-01 and OD-06, identifies any duplicate/open contradictions, and prepares the controlled synchronization package for downstream baselines.</w:t>
      </w:r>
    </w:p>
    <w:p>
      <w:pPr>
        <w:pStyle w:val="Heading1"/>
      </w:pPr>
      <w:r>
        <w:t>11. Artifact Control</w:t>
      </w:r>
    </w:p>
    <w:p>
      <w:r>
        <w:t>Artifact ID: AEP3-Impact-10</w:t>
      </w:r>
    </w:p>
    <w:p>
      <w:r>
        <w:t>AEP: #3 — Title / Awarding Business Rules</w:t>
      </w:r>
    </w:p>
    <w:p>
      <w:r>
        <w:t>Status: COMPLETED — TRACEABILITY GATE PASS</w:t>
      </w:r>
    </w:p>
    <w:p>
      <w:r>
        <w:t>Implementation authorization: NOT GRANTED</w:t>
      </w:r>
    </w:p>
    <w:p>
      <w:r>
        <w:t>Next step: AEP3 Consolidation &amp; Architecture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