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RUMAHAGEN — AEP #3</w:t>
      </w:r>
    </w:p>
    <w:p>
      <w:pPr>
        <w:jc w:val="center"/>
      </w:pPr>
      <w:r>
        <w:rPr>
          <w:b/>
          <w:sz w:val="36"/>
        </w:rPr>
        <w:t>AEP3-OD-01 — Title Identity Version Decision</w:t>
      </w:r>
    </w:p>
    <w:p>
      <w:pPr>
        <w:jc w:val="center"/>
      </w:pPr>
      <w:r>
        <w:rPr>
          <w:i/>
        </w:rPr>
        <w:t>Version 1.0 | User Decision: B | Status: DECIDED FOR AEP #3</w:t>
      </w:r>
    </w:p>
    <w:p>
      <w:pPr>
        <w:pStyle w:val="Heading1"/>
      </w:pPr>
      <w:r>
        <w:t>1. Decision Question</w:t>
      </w:r>
    </w:p>
    <w:p>
      <w:r>
        <w:t>Apakah Title Definition harus memiliki logical/physical Title Identity Version sebagai version boundary tersendiri, atau Title Identity tetap stable dan versioning material ditangani melalui Awarding Path Version dan Awarding Rule Version?</w:t>
      </w:r>
    </w:p>
    <w:p>
      <w:pPr>
        <w:pStyle w:val="Heading1"/>
      </w:pPr>
      <w:r>
        <w:t>2. Decision</w:t>
      </w:r>
    </w:p>
    <w:p>
      <w:r>
        <w:rPr>
          <w:b/>
        </w:rPr>
        <w:t>OPTION B — APPROVED FOR AEP #3 DESIGN</w:t>
      </w:r>
    </w:p>
    <w:p>
      <w:r>
        <w:t>Title Identity tetap stable. AEP #3 tidak membuat Title Identity Version sebagai dedicated version entity. Historical qualification meaning wajib dipertahankan melalui governing Awarding Path Version dan Awarding Rule Version ketika perubahan material menyentuh qualification/awarding semantics.</w:t>
      </w:r>
    </w:p>
    <w:p>
      <w:pPr>
        <w:pStyle w:val="Heading1"/>
      </w:pPr>
      <w:r>
        <w:t>3. Rationale</w:t>
      </w:r>
    </w:p>
    <w:p>
      <w:pPr>
        <w:pStyle w:val="ListBullet"/>
      </w:pPr>
      <w:r>
        <w:t>MADCR-037 sudah menetapkan Title Identity → Awarding Path Version → Awarding Rule Version → Award Instance sebagai provenance chain dan memisahkan Path Version dari Rule Version.</w:t>
      </w:r>
    </w:p>
    <w:p>
      <w:pPr>
        <w:pStyle w:val="ListBullet"/>
      </w:pPr>
      <w:r>
        <w:t>MADCR-037 tidak mengotorisasi physical ERD/FK design atau mewajibkan physical Title Identity Version entity.</w:t>
      </w:r>
    </w:p>
    <w:p>
      <w:pPr>
        <w:pStyle w:val="ListBullet"/>
      </w:pPr>
      <w:r>
        <w:t>Menambah Title Identity Version berisiko menciptakan version explosion dan ambiguity mengenai perubahan Title yang benar-benar material.</w:t>
      </w:r>
    </w:p>
    <w:p>
      <w:pPr>
        <w:pStyle w:val="ListBullet"/>
      </w:pPr>
      <w:r>
        <w:t>Business Rule baseline menyatakan rename tidak membuat Award baru, sehingga Title identity tidak perlu versioned untuk perubahan presentation/naming semata.</w:t>
      </w:r>
    </w:p>
    <w:p>
      <w:pPr>
        <w:pStyle w:val="ListBullet"/>
      </w:pPr>
      <w:r>
        <w:t>Historical meaning tetap dapat direkonstruksi melalui historical Path Version dan Rule Version yang terikat pada Award Instance.</w:t>
      </w:r>
    </w:p>
    <w:p>
      <w:pPr>
        <w:pStyle w:val="ListBullet"/>
      </w:pPr>
      <w:r>
        <w:t>B tidak berarti Title Definition boleh diubah bebas. Perubahan yang mengubah qualification/awarding meaning harus diperlakukan sebagai material change dan ditangani pada Path/Rule version boundary yang relevan.</w:t>
      </w:r>
    </w:p>
    <w:p>
      <w:pPr>
        <w:pStyle w:val="Heading1"/>
      </w:pPr>
      <w:r>
        <w:t>4. Required Invariant</w:t>
      </w:r>
    </w:p>
    <w:p>
      <w:r>
        <w:t>Title Identity is stable; material qualification semantics are versioned through Awarding Path Version and/or Awarding Rule Version. No mutable current Title Definition change may rewrite the historical meaning of an existing Award.</w:t>
      </w:r>
    </w:p>
    <w:p>
      <w:pPr>
        <w:pStyle w:val="Heading1"/>
      </w:pPr>
      <w:r>
        <w:t>5. Consequences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Consequence</w:t>
            </w:r>
          </w:p>
        </w:tc>
        <w:tc>
          <w:tcPr>
            <w:tcW w:type="dxa" w:w="2880"/>
          </w:tcPr>
          <w:p>
            <w:r>
              <w:t>Control</w:t>
            </w:r>
          </w:p>
        </w:tc>
      </w:tr>
      <w:tr>
        <w:tc>
          <w:tcPr>
            <w:tcW w:type="dxa" w:w="2880"/>
          </w:tcPr>
          <w:p>
            <w:r>
              <w:t>Title Identity</w:t>
            </w:r>
          </w:p>
        </w:tc>
        <w:tc>
          <w:tcPr>
            <w:tcW w:type="dxa" w:w="2880"/>
          </w:tcPr>
          <w:p>
            <w:r>
              <w:t>Stable identity; no Title Version entity in AEP #3.</w:t>
            </w:r>
          </w:p>
        </w:tc>
        <w:tc>
          <w:tcPr>
            <w:tcW w:type="dxa" w:w="2880"/>
          </w:tcPr>
          <w:p>
            <w:r>
              <w:t>Do not create Title Identity Version table/entity.</w:t>
            </w:r>
          </w:p>
        </w:tc>
      </w:tr>
      <w:tr>
        <w:tc>
          <w:tcPr>
            <w:tcW w:type="dxa" w:w="2880"/>
          </w:tcPr>
          <w:p>
            <w:r>
              <w:t>Rename / presentation</w:t>
            </w:r>
          </w:p>
        </w:tc>
        <w:tc>
          <w:tcPr>
            <w:tcW w:type="dxa" w:w="2880"/>
          </w:tcPr>
          <w:p>
            <w:r>
              <w:t>Does not create a new Award or Title identity version.</w:t>
            </w:r>
          </w:p>
        </w:tc>
        <w:tc>
          <w:tcPr>
            <w:tcW w:type="dxa" w:w="2880"/>
          </w:tcPr>
          <w:p>
            <w:r>
              <w:t>Treat as governed configuration/presentation change.</w:t>
            </w:r>
          </w:p>
        </w:tc>
      </w:tr>
      <w:tr>
        <w:tc>
          <w:tcPr>
            <w:tcW w:type="dxa" w:w="2880"/>
          </w:tcPr>
          <w:p>
            <w:r>
              <w:t>Material qualification change</w:t>
            </w:r>
          </w:p>
        </w:tc>
        <w:tc>
          <w:tcPr>
            <w:tcW w:type="dxa" w:w="2880"/>
          </w:tcPr>
          <w:p>
            <w:r>
              <w:t>Requires new Path Version and/or Rule Version as applicable.</w:t>
            </w:r>
          </w:p>
        </w:tc>
        <w:tc>
          <w:tcPr>
            <w:tcW w:type="dxa" w:w="2880"/>
          </w:tcPr>
          <w:p>
            <w:r>
              <w:t>Preserve historical binding.</w:t>
            </w:r>
          </w:p>
        </w:tc>
      </w:tr>
      <w:tr>
        <w:tc>
          <w:tcPr>
            <w:tcW w:type="dxa" w:w="2880"/>
          </w:tcPr>
          <w:p>
            <w:r>
              <w:t>Award provenance</w:t>
            </w:r>
          </w:p>
        </w:tc>
        <w:tc>
          <w:tcPr>
            <w:tcW w:type="dxa" w:w="2880"/>
          </w:tcPr>
          <w:p>
            <w:r>
              <w:t>Award remains bound to historical Path/Rule versions.</w:t>
            </w:r>
          </w:p>
        </w:tc>
        <w:tc>
          <w:tcPr>
            <w:tcW w:type="dxa" w:w="2880"/>
          </w:tcPr>
          <w:p>
            <w:r>
              <w:t>Never derive historical meaning only from current Title state.</w:t>
            </w:r>
          </w:p>
        </w:tc>
      </w:tr>
      <w:tr>
        <w:tc>
          <w:tcPr>
            <w:tcW w:type="dxa" w:w="2880"/>
          </w:tcPr>
          <w:p>
            <w:r>
              <w:t>Future Title Version need</w:t>
            </w:r>
          </w:p>
        </w:tc>
        <w:tc>
          <w:tcPr>
            <w:tcW w:type="dxa" w:w="2880"/>
          </w:tcPr>
          <w:p>
            <w:r>
              <w:t>May be revisited if authoritative evidence creates a concrete requirement.</w:t>
            </w:r>
          </w:p>
        </w:tc>
        <w:tc>
          <w:tcPr>
            <w:tcW w:type="dxa" w:w="2880"/>
          </w:tcPr>
          <w:p>
            <w:r>
              <w:t>Requires new governance/ADR decision; not assumed now.</w:t>
            </w:r>
          </w:p>
        </w:tc>
      </w:tr>
    </w:tbl>
    <w:p>
      <w:pPr>
        <w:pStyle w:val="Heading1"/>
      </w:pPr>
      <w:r>
        <w:t>6. Scope Boundary</w:t>
      </w:r>
    </w:p>
    <w:p>
      <w:r>
        <w:t>This decision resolves AEP3-OD-01 for AEP #3 design. It does not approve physical database schema, migration, API, RBAC/RLS, event sourcing, or implementation.</w:t>
      </w:r>
    </w:p>
    <w:p>
      <w:pPr>
        <w:pStyle w:val="Heading1"/>
      </w:pPr>
      <w:r>
        <w:t>7. Downstream Effect</w:t>
      </w:r>
    </w:p>
    <w:p>
      <w:r>
        <w:t>Impact 03 is now closed with Option B. Impact 04 Schema/Database Impact may proceed without a Title Identity Version entity. Remaining open items are authority/scope cardinality and lifecycle history mechanism; both remain controlled downstream design questions and do not require reopening this decision.</w:t>
      </w:r>
    </w:p>
    <w:p>
      <w:pPr>
        <w:pStyle w:val="Heading1"/>
      </w:pPr>
      <w:r>
        <w:t>8. Decision Record</w:t>
      </w:r>
    </w:p>
    <w:p>
      <w:r>
        <w:t>Decision ID: AEP3-OD-01</w:t>
      </w:r>
    </w:p>
    <w:p>
      <w:r>
        <w:t>Decision: B</w:t>
      </w:r>
    </w:p>
    <w:p>
      <w:r>
        <w:t>Status: DECIDED</w:t>
      </w:r>
    </w:p>
    <w:p>
      <w:r>
        <w:t>AEP: #3 — Title / Awarding Business Rules</w:t>
      </w:r>
    </w:p>
    <w:p>
      <w:r>
        <w:t>Implementation authorization: NOT GRANTED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