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RUMAHAGEN — AEP #4 Learning Session</w:t>
        <w:br/>
        <w:t>Continuity Re-Review &amp; Corrected Current State</w:t>
      </w:r>
    </w:p>
    <w:p>
      <w:pPr>
        <w:jc w:val="center"/>
      </w:pPr>
      <w:r>
        <w:rPr>
          <w:i/>
        </w:rPr>
        <w:t>Version 1.0 | Re-review gate before STEP 11 | No implementation authorization</w:t>
      </w:r>
    </w:p>
    <w:p>
      <w:pPr>
        <w:pStyle w:val="Heading1"/>
      </w:pPr>
      <w:r>
        <w:t>1. Re-Review Mandate</w:t>
      </w:r>
    </w:p>
    <w:p>
      <w:r>
        <w:t>At the Owner's instruction, the full current chat context and the complete uploaded project folder were re-reviewed before continuing AEP #4. The review included all extracted archive contents plus standalone uploaded artifacts. Thirteen ZIP archives were extracted, yielding 274 archived files; 58 standalone uploaded files were also present. Text was inspected across Markdown, SQL, JSON, DOCX tables/paragraphs and PDF text. The purpose was continuity and conflict avoidance, not to silently rewrite prior decisions.</w:t>
      </w:r>
    </w:p>
    <w:p>
      <w:pPr>
        <w:pStyle w:val="Heading1"/>
      </w:pPr>
      <w:r>
        <w:t>2. Governing Execution Order — LOCKED</w:t>
      </w:r>
    </w:p>
    <w:p>
      <w:pPr>
        <w:pStyle w:val="ListNumber"/>
      </w:pPr>
      <w:r>
        <w:t>AEP #1 — Monetization / Commercial + Payment</w:t>
      </w:r>
    </w:p>
    <w:p>
      <w:pPr>
        <w:pStyle w:val="ListNumber"/>
      </w:pPr>
      <w:r>
        <w:t>AEP #2 — Learning Economy</w:t>
      </w:r>
    </w:p>
    <w:p>
      <w:pPr>
        <w:pStyle w:val="ListNumber"/>
      </w:pPr>
      <w:r>
        <w:t>AEP #3 — Title / Awarding Business Rules</w:t>
      </w:r>
    </w:p>
    <w:p>
      <w:pPr>
        <w:pStyle w:val="ListNumber"/>
      </w:pPr>
      <w:r>
        <w:t>AEP #4 — Learning Session</w:t>
      </w:r>
    </w:p>
    <w:p>
      <w:r>
        <w:t>Global project-wide technical/governance synchronization remains deferred until AEP #1–#4 are finalized, followed by cross-AEP consolidation, project-wide synchronization, baseline/knowledge refresh and changelog reconciliation.</w:t>
      </w:r>
    </w:p>
    <w:p>
      <w:pPr>
        <w:pStyle w:val="Heading1"/>
      </w:pPr>
      <w:r>
        <w:t>3. Cross-AEP Status Carried Forward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AEP</w:t>
            </w:r>
          </w:p>
        </w:tc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Meaning</w:t>
            </w:r>
          </w:p>
        </w:tc>
      </w:tr>
      <w:tr>
        <w:tc>
          <w:tcPr>
            <w:tcW w:type="dxa" w:w="3456"/>
          </w:tcPr>
          <w:p>
            <w:r>
              <w:t>AEP #1</w:t>
            </w:r>
          </w:p>
        </w:tc>
        <w:tc>
          <w:tcPr>
            <w:tcW w:type="dxa" w:w="3456"/>
          </w:tcPr>
          <w:p>
            <w:r>
              <w:t>CONDITIONALLY COMPLETE</w:t>
            </w:r>
          </w:p>
        </w:tc>
        <w:tc>
          <w:tcPr>
            <w:tcW w:type="dxa" w:w="3456"/>
          </w:tcPr>
          <w:p>
            <w:r>
              <w:t>Commercial/Payment chain complete at domain/downstream level; OPEN-C01 and MBR-COM evidence residuals remain non-blocking; physical implementation remains downstream.</w:t>
            </w:r>
          </w:p>
        </w:tc>
      </w:tr>
      <w:tr>
        <w:tc>
          <w:tcPr>
            <w:tcW w:type="dxa" w:w="3456"/>
          </w:tcPr>
          <w:p>
            <w:r>
              <w:t>AEP #2</w:t>
            </w:r>
          </w:p>
        </w:tc>
        <w:tc>
          <w:tcPr>
            <w:tcW w:type="dxa" w:w="3456"/>
          </w:tcPr>
          <w:p>
            <w:r>
              <w:t>PASS WITH CONTROLLED RESIDUALS</w:t>
            </w:r>
          </w:p>
        </w:tc>
        <w:tc>
          <w:tcPr>
            <w:tcW w:type="dxa" w:w="3456"/>
          </w:tcPr>
          <w:p>
            <w:r>
              <w:t>Learning Economy synchronized; MADCR-049 remains OPEN / RE-EVALUATION; Learning Session linkage was explicitly deferred to AEP #4.</w:t>
            </w:r>
          </w:p>
        </w:tc>
      </w:tr>
      <w:tr>
        <w:tc>
          <w:tcPr>
            <w:tcW w:type="dxa" w:w="3456"/>
          </w:tcPr>
          <w:p>
            <w:r>
              <w:t>AEP #3</w:t>
            </w:r>
          </w:p>
        </w:tc>
        <w:tc>
          <w:tcPr>
            <w:tcW w:type="dxa" w:w="3456"/>
          </w:tcPr>
          <w:p>
            <w:r>
              <w:t>CONTROLLED PER-AEP SYNCHRONIZATION COMPLETE</w:t>
            </w:r>
          </w:p>
        </w:tc>
        <w:tc>
          <w:tcPr>
            <w:tcW w:type="dxa" w:w="3456"/>
          </w:tcPr>
          <w:p>
            <w:r>
              <w:t>Title/Awarding semantic delta synchronized; global baseline rewrite remains deferred; AEP #4 is the next active gate.</w:t>
            </w:r>
          </w:p>
        </w:tc>
      </w:tr>
      <w:tr>
        <w:tc>
          <w:tcPr>
            <w:tcW w:type="dxa" w:w="3456"/>
          </w:tcPr>
          <w:p>
            <w:r>
              <w:t>AEP #4</w:t>
            </w:r>
          </w:p>
        </w:tc>
        <w:tc>
          <w:tcPr>
            <w:tcW w:type="dxa" w:w="3456"/>
          </w:tcPr>
          <w:p>
            <w:r>
              <w:t>ACTIVE — STEP 11 NEXT</w:t>
            </w:r>
          </w:p>
        </w:tc>
        <w:tc>
          <w:tcPr>
            <w:tcW w:type="dxa" w:w="3456"/>
          </w:tcPr>
          <w:p>
            <w:r>
              <w:t>Steps 01–10 completed as controlled impact artifacts; AEP4 semantic residuals and Batch-4 governance dependencies remain visible.</w:t>
            </w:r>
          </w:p>
        </w:tc>
      </w:tr>
    </w:tbl>
    <w:p>
      <w:pPr>
        <w:pStyle w:val="Heading1"/>
      </w:pPr>
      <w:r>
        <w:t>4. Canonical AEP4 Decision Set — MUST NOT BE REOPENED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Decision</w:t>
            </w:r>
          </w:p>
        </w:tc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Canonical meaning</w:t>
            </w:r>
          </w:p>
        </w:tc>
      </w:tr>
      <w:tr>
        <w:tc>
          <w:tcPr>
            <w:tcW w:type="dxa" w:w="3456"/>
          </w:tcPr>
          <w:p>
            <w:r>
              <w:t>OD-01</w:t>
            </w:r>
          </w:p>
        </w:tc>
        <w:tc>
          <w:tcPr>
            <w:tcW w:type="dxa" w:w="3456"/>
          </w:tcPr>
          <w:p>
            <w:r>
              <w:t>APPROVED</w:t>
            </w:r>
          </w:p>
        </w:tc>
        <w:tc>
          <w:tcPr>
            <w:tcW w:type="dxa" w:w="3456"/>
          </w:tcPr>
          <w:p>
            <w:r>
              <w:t>BROADCAST / INTERACTIVE / ON_DEMAND</w:t>
            </w:r>
          </w:p>
        </w:tc>
      </w:tr>
      <w:tr>
        <w:tc>
          <w:tcPr>
            <w:tcW w:type="dxa" w:w="3456"/>
          </w:tcPr>
          <w:p>
            <w:r>
              <w:t>OD-02</w:t>
            </w:r>
          </w:p>
        </w:tc>
        <w:tc>
          <w:tcPr>
            <w:tcW w:type="dxa" w:w="3456"/>
          </w:tcPr>
          <w:p>
            <w:r>
              <w:t>APPROVED</w:t>
            </w:r>
          </w:p>
        </w:tc>
        <w:tc>
          <w:tcPr>
            <w:tcW w:type="dxa" w:w="3456"/>
          </w:tcPr>
          <w:p>
            <w:r>
              <w:t>DRAFT → SCHEDULED → LIVE → ENDED; CANCELLED / FAILED as exception states</w:t>
            </w:r>
          </w:p>
        </w:tc>
      </w:tr>
      <w:tr>
        <w:tc>
          <w:tcPr>
            <w:tcW w:type="dxa" w:w="3456"/>
          </w:tcPr>
          <w:p>
            <w:r>
              <w:t>OD-03</w:t>
            </w:r>
          </w:p>
        </w:tc>
        <w:tc>
          <w:tcPr>
            <w:tcW w:type="dxa" w:w="3456"/>
          </w:tcPr>
          <w:p>
            <w:r>
              <w:t>APPROVED</w:t>
            </w:r>
          </w:p>
        </w:tc>
        <w:tc>
          <w:tcPr>
            <w:tcW w:type="dxa" w:w="3456"/>
          </w:tcPr>
          <w:p>
            <w:r>
              <w:t>Provider participation = evidence; RUMAHAGEN owns attendance business state</w:t>
            </w:r>
          </w:p>
        </w:tc>
      </w:tr>
      <w:tr>
        <w:tc>
          <w:tcPr>
            <w:tcW w:type="dxa" w:w="3456"/>
          </w:tcPr>
          <w:p>
            <w:r>
              <w:t>OD-04</w:t>
            </w:r>
          </w:p>
        </w:tc>
        <w:tc>
          <w:tcPr>
            <w:tcW w:type="dxa" w:w="3456"/>
          </w:tcPr>
          <w:p>
            <w:r>
              <w:t>APPROVED</w:t>
            </w:r>
          </w:p>
        </w:tc>
        <w:tc>
          <w:tcPr>
            <w:tcW w:type="dxa" w:w="3456"/>
          </w:tcPr>
          <w:p>
            <w:r>
              <w:t>Governed completion policy consumes normalized evidence; provider cannot directly establish completion</w:t>
            </w:r>
          </w:p>
        </w:tc>
      </w:tr>
      <w:tr>
        <w:tc>
          <w:tcPr>
            <w:tcW w:type="dxa" w:w="3456"/>
          </w:tcPr>
          <w:p>
            <w:r>
              <w:t>OD-05</w:t>
            </w:r>
          </w:p>
        </w:tc>
        <w:tc>
          <w:tcPr>
            <w:tcW w:type="dxa" w:w="3456"/>
          </w:tcPr>
          <w:p>
            <w:r>
              <w:t>APPROVED</w:t>
            </w:r>
          </w:p>
        </w:tc>
        <w:tc>
          <w:tcPr>
            <w:tcW w:type="dxa" w:w="3456"/>
          </w:tcPr>
          <w:p>
            <w:r>
              <w:t>Attendance parameters configurable; exact values downstream</w:t>
            </w:r>
          </w:p>
        </w:tc>
      </w:tr>
      <w:tr>
        <w:tc>
          <w:tcPr>
            <w:tcW w:type="dxa" w:w="3456"/>
          </w:tcPr>
          <w:p>
            <w:r>
              <w:t>OD-06</w:t>
            </w:r>
          </w:p>
        </w:tc>
        <w:tc>
          <w:tcPr>
            <w:tcW w:type="dxa" w:w="3456"/>
          </w:tcPr>
          <w:p>
            <w:r>
              <w:t>APPROVED</w:t>
            </w:r>
          </w:p>
        </w:tc>
        <w:tc>
          <w:tcPr>
            <w:tcW w:type="dxa" w:w="3456"/>
          </w:tcPr>
          <w:p>
            <w:r>
              <w:t>Qualifying completion feeds Learning Activity; Learning Economy owns LP processing</w:t>
            </w:r>
          </w:p>
        </w:tc>
      </w:tr>
      <w:tr>
        <w:tc>
          <w:tcPr>
            <w:tcW w:type="dxa" w:w="3456"/>
          </w:tcPr>
          <w:p>
            <w:r>
              <w:t>OD-07</w:t>
            </w:r>
          </w:p>
        </w:tc>
        <w:tc>
          <w:tcPr>
            <w:tcW w:type="dxa" w:w="3456"/>
          </w:tcPr>
          <w:p>
            <w:r>
              <w:t>APPROVED</w:t>
            </w:r>
          </w:p>
        </w:tc>
        <w:tc>
          <w:tcPr>
            <w:tcW w:type="dxa" w:w="3456"/>
          </w:tcPr>
          <w:p>
            <w:r>
              <w:t>Provider switching preserves semantic session identity/history/enrollment/evidence/outcome</w:t>
            </w:r>
          </w:p>
        </w:tc>
      </w:tr>
      <w:tr>
        <w:tc>
          <w:tcPr>
            <w:tcW w:type="dxa" w:w="3456"/>
          </w:tcPr>
          <w:p>
            <w:r>
              <w:t>OD-08</w:t>
            </w:r>
          </w:p>
        </w:tc>
        <w:tc>
          <w:tcPr>
            <w:tcW w:type="dxa" w:w="3456"/>
          </w:tcPr>
          <w:p>
            <w:r>
              <w:t>OPEN / DEFERRED</w:t>
            </w:r>
          </w:p>
        </w:tc>
        <w:tc>
          <w:tcPr>
            <w:tcW w:type="dxa" w:w="3456"/>
          </w:tcPr>
          <w:p>
            <w:r>
              <w:t>Automatic cross-provider failover requires capability + technical/operational verification</w:t>
            </w:r>
          </w:p>
        </w:tc>
      </w:tr>
      <w:tr>
        <w:tc>
          <w:tcPr>
            <w:tcW w:type="dxa" w:w="3456"/>
          </w:tcPr>
          <w:p>
            <w:r>
              <w:t>OD-09</w:t>
            </w:r>
          </w:p>
        </w:tc>
        <w:tc>
          <w:tcPr>
            <w:tcW w:type="dxa" w:w="3456"/>
          </w:tcPr>
          <w:p>
            <w:r>
              <w:t>APPROVED</w:t>
            </w:r>
          </w:p>
        </w:tc>
        <w:tc>
          <w:tcPr>
            <w:tcW w:type="dxa" w:w="3456"/>
          </w:tcPr>
          <w:p>
            <w:r>
              <w:t>Recording is optional artifact/reference; separate from attendance/completion; may support ON_DEMAND</w:t>
            </w:r>
          </w:p>
        </w:tc>
      </w:tr>
      <w:tr>
        <w:tc>
          <w:tcPr>
            <w:tcW w:type="dxa" w:w="3456"/>
          </w:tcPr>
          <w:p>
            <w:r>
              <w:t>OD-10</w:t>
            </w:r>
          </w:p>
        </w:tc>
        <w:tc>
          <w:tcPr>
            <w:tcW w:type="dxa" w:w="3456"/>
          </w:tcPr>
          <w:p>
            <w:r>
              <w:t>APPROVED</w:t>
            </w:r>
          </w:p>
        </w:tc>
        <w:tc>
          <w:tcPr>
            <w:tcW w:type="dxa" w:w="3456"/>
          </w:tcPr>
          <w:p>
            <w:r>
              <w:t>Provider-agnostic architecture; candidate providers subject to verification</w:t>
            </w:r>
          </w:p>
        </w:tc>
      </w:tr>
      <w:tr>
        <w:tc>
          <w:tcPr>
            <w:tcW w:type="dxa" w:w="3456"/>
          </w:tcPr>
          <w:p>
            <w:r>
              <w:t>OD-11</w:t>
            </w:r>
          </w:p>
        </w:tc>
        <w:tc>
          <w:tcPr>
            <w:tcW w:type="dxa" w:w="3456"/>
          </w:tcPr>
          <w:p>
            <w:r>
              <w:t>APPROVED</w:t>
            </w:r>
          </w:p>
        </w:tc>
        <w:tc>
          <w:tcPr>
            <w:tcW w:type="dxa" w:w="3456"/>
          </w:tcPr>
          <w:p>
            <w:r>
              <w:t>No universal provider priority/ranking</w:t>
            </w:r>
          </w:p>
        </w:tc>
      </w:tr>
      <w:tr>
        <w:tc>
          <w:tcPr>
            <w:tcW w:type="dxa" w:w="3456"/>
          </w:tcPr>
          <w:p>
            <w:r>
              <w:t>OD-12</w:t>
            </w:r>
          </w:p>
        </w:tc>
        <w:tc>
          <w:tcPr>
            <w:tcW w:type="dxa" w:w="3456"/>
          </w:tcPr>
          <w:p>
            <w:r>
              <w:t>APPROVED</w:t>
            </w:r>
          </w:p>
        </w:tc>
        <w:tc>
          <w:tcPr>
            <w:tcW w:type="dxa" w:w="3456"/>
          </w:tcPr>
          <w:p>
            <w:r>
              <w:t>AI assistive only; never outcome authority</w:t>
            </w:r>
          </w:p>
        </w:tc>
      </w:tr>
      <w:tr>
        <w:tc>
          <w:tcPr>
            <w:tcW w:type="dxa" w:w="3456"/>
          </w:tcPr>
          <w:p>
            <w:r>
              <w:t>OD-13</w:t>
            </w:r>
          </w:p>
        </w:tc>
        <w:tc>
          <w:tcPr>
            <w:tcW w:type="dxa" w:w="3456"/>
          </w:tcPr>
          <w:p>
            <w:r>
              <w:t>APPROVED</w:t>
            </w:r>
          </w:p>
        </w:tc>
        <w:tc>
          <w:tcPr>
            <w:tcW w:type="dxa" w:w="3456"/>
          </w:tcPr>
          <w:p>
            <w:r>
              <w:t>Paid session access consumes Commercial/Payment outcomes; no payment logic in Learning Session</w:t>
            </w:r>
          </w:p>
        </w:tc>
      </w:tr>
      <w:tr>
        <w:tc>
          <w:tcPr>
            <w:tcW w:type="dxa" w:w="3456"/>
          </w:tcPr>
          <w:p>
            <w:r>
              <w:t>OD-14</w:t>
            </w:r>
          </w:p>
        </w:tc>
        <w:tc>
          <w:tcPr>
            <w:tcW w:type="dxa" w:w="3456"/>
          </w:tcPr>
          <w:p>
            <w:r>
              <w:t>APPROVED</w:t>
            </w:r>
          </w:p>
        </w:tc>
        <w:tc>
          <w:tcPr>
            <w:tcW w:type="dxa" w:w="3456"/>
          </w:tcPr>
          <w:p>
            <w:r>
              <w:t>Workspace/organization context when applicable; authority/cardinality downstream</w:t>
            </w:r>
          </w:p>
        </w:tc>
      </w:tr>
      <w:tr>
        <w:tc>
          <w:tcPr>
            <w:tcW w:type="dxa" w:w="3456"/>
          </w:tcPr>
          <w:p>
            <w:r>
              <w:t>OD-15</w:t>
            </w:r>
          </w:p>
        </w:tc>
        <w:tc>
          <w:tcPr>
            <w:tcW w:type="dxa" w:w="3456"/>
          </w:tcPr>
          <w:p>
            <w:r>
              <w:t>APPROVED</w:t>
            </w:r>
          </w:p>
        </w:tc>
        <w:tc>
          <w:tcPr>
            <w:tcW w:type="dxa" w:w="3456"/>
          </w:tcPr>
          <w:p>
            <w:r>
              <w:t>Semantic visibility/access scope; exact authorization downstream</w:t>
            </w:r>
          </w:p>
        </w:tc>
      </w:tr>
      <w:tr>
        <w:tc>
          <w:tcPr>
            <w:tcW w:type="dxa" w:w="3456"/>
          </w:tcPr>
          <w:p>
            <w:r>
              <w:t>OD-16</w:t>
            </w:r>
          </w:p>
        </w:tc>
        <w:tc>
          <w:tcPr>
            <w:tcW w:type="dxa" w:w="3456"/>
          </w:tcPr>
          <w:p>
            <w:r>
              <w:t>APPROVED</w:t>
            </w:r>
          </w:p>
        </w:tc>
        <w:tc>
          <w:tcPr>
            <w:tcW w:type="dxa" w:w="3456"/>
          </w:tcPr>
          <w:p>
            <w:r>
              <w:t>PENDING = enrollment/access request awaiting activation; ACTIVE = access granted; payment success is not itself ACTIVE</w:t>
            </w:r>
          </w:p>
        </w:tc>
      </w:tr>
      <w:tr>
        <w:tc>
          <w:tcPr>
            <w:tcW w:type="dxa" w:w="3456"/>
          </w:tcPr>
          <w:p>
            <w:r>
              <w:t>OD-17</w:t>
            </w:r>
          </w:p>
        </w:tc>
        <w:tc>
          <w:tcPr>
            <w:tcW w:type="dxa" w:w="3456"/>
          </w:tcPr>
          <w:p>
            <w:r>
              <w:t>APPROVED</w:t>
            </w:r>
          </w:p>
        </w:tc>
        <w:tc>
          <w:tcPr>
            <w:tcW w:type="dxa" w:w="3456"/>
          </w:tcPr>
          <w:p>
            <w:r>
              <w:t>PENDING → ACTIVE → COMPLETED; COMPLETED is governed enrollment outcome, not provider event</w:t>
            </w:r>
          </w:p>
        </w:tc>
      </w:tr>
    </w:tbl>
    <w:p>
      <w:pPr>
        <w:pStyle w:val="Heading1"/>
      </w:pPr>
      <w:r>
        <w:t>5. Source-Level Learning Session Rules That Must Carry Into STEP 11+</w:t>
      </w:r>
    </w:p>
    <w:p>
      <w:pPr>
        <w:pStyle w:val="ListBullet"/>
      </w:pPr>
      <w:r>
        <w:t>Learning Session remains inside Learning and is not a new top-level domain.</w:t>
      </w:r>
    </w:p>
    <w:p>
      <w:pPr>
        <w:pStyle w:val="ListBullet"/>
      </w:pPr>
      <w:r>
        <w:t>RUMAHAGEN is System of Record for session identity, relationship, instructor, workspace, schedule, lifecycle, participant relationship, attendance outcome, completion, provider reference, recording reference and audit/provenance.</w:t>
      </w:r>
    </w:p>
    <w:p>
      <w:pPr>
        <w:pStyle w:val="ListBullet"/>
      </w:pPr>
      <w:r>
        <w:t>Provider is infrastructure; provider-specific logic remains behind Adapter.</w:t>
      </w:r>
    </w:p>
    <w:p>
      <w:pPr>
        <w:pStyle w:val="ListBullet"/>
      </w:pPr>
      <w:r>
        <w:t>Authentication → eligibility → authorization → provider access is the access chain. External meeting/session ID is not authorization.</w:t>
      </w:r>
    </w:p>
    <w:p>
      <w:pPr>
        <w:pStyle w:val="ListBullet"/>
      </w:pPr>
      <w:r>
        <w:t>Provider events pass through integration, validation, normalization and idempotency; providers must never directly mutate Learning state.</w:t>
      </w:r>
    </w:p>
    <w:p>
      <w:pPr>
        <w:pStyle w:val="ListBullet"/>
      </w:pPr>
      <w:r>
        <w:t>Attendance is evidence/fact; JOIN does not equal COMPLETION.</w:t>
      </w:r>
    </w:p>
    <w:p>
      <w:pPr>
        <w:pStyle w:val="ListBullet"/>
      </w:pPr>
      <w:r>
        <w:t>Completion is governed; it is not automatically competency, credential or Title.</w:t>
      </w:r>
    </w:p>
    <w:p>
      <w:pPr>
        <w:pStyle w:val="ListBullet"/>
      </w:pPr>
      <w:r>
        <w:t>Learning Session cannot directly create official Learning Point transactions.</w:t>
      </w:r>
    </w:p>
    <w:p>
      <w:pPr>
        <w:pStyle w:val="ListBullet"/>
      </w:pPr>
      <w:r>
        <w:t>Assessment remains independent where required; attendance/purchased points cannot bypass required assessment.</w:t>
      </w:r>
    </w:p>
    <w:p>
      <w:pPr>
        <w:pStyle w:val="ListBullet"/>
      </w:pPr>
      <w:r>
        <w:t>Recording is optional and separate from completion; recording may later become ON_DEMAND.</w:t>
      </w:r>
    </w:p>
    <w:p>
      <w:pPr>
        <w:pStyle w:val="ListBullet"/>
      </w:pPr>
      <w:r>
        <w:t>Provider failure does not erase Learning history; recovery must be idempotent.</w:t>
      </w:r>
    </w:p>
    <w:p>
      <w:pPr>
        <w:pStyle w:val="ListBullet"/>
      </w:pPr>
      <w:r>
        <w:t>Provider switching does not reset progress, valid historical attendance, Learning Activity or Learning Points.</w:t>
      </w:r>
    </w:p>
    <w:p>
      <w:pPr>
        <w:pStyle w:val="ListBullet"/>
      </w:pPr>
      <w:r>
        <w:t>AI is optional/assistive and cannot become Learning authority.</w:t>
      </w:r>
    </w:p>
    <w:p>
      <w:pPr>
        <w:pStyle w:val="ListBullet"/>
      </w:pPr>
      <w:r>
        <w:t>Historical attendance is immutable by default; corrections require authorized/audited flows.</w:t>
      </w:r>
    </w:p>
    <w:p>
      <w:pPr>
        <w:pStyle w:val="ListBullet"/>
      </w:pPr>
      <w:r>
        <w:t>Configuration changes do not rewrite historical outcomes.</w:t>
      </w:r>
    </w:p>
    <w:p>
      <w:pPr>
        <w:pStyle w:val="ListBullet"/>
      </w:pPr>
      <w:r>
        <w:t>Paid live sessions must not silently replace required free-learning pathways where the Learning Path is defined as free-to-learn.</w:t>
      </w:r>
    </w:p>
    <w:p>
      <w:pPr>
        <w:pStyle w:val="Heading1"/>
      </w:pPr>
      <w:r>
        <w:t>6. Critical Governance Dependencies — Correct Interpretation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Item</w:t>
            </w:r>
          </w:p>
        </w:tc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Treatment in AEP4</w:t>
            </w:r>
          </w:p>
        </w:tc>
      </w:tr>
      <w:tr>
        <w:tc>
          <w:tcPr>
            <w:tcW w:type="dxa" w:w="3456"/>
          </w:tcPr>
          <w:p>
            <w:r>
              <w:t>MADCR-049</w:t>
            </w:r>
          </w:p>
        </w:tc>
        <w:tc>
          <w:tcPr>
            <w:tcW w:type="dxa" w:w="3456"/>
          </w:tcPr>
          <w:p>
            <w:r>
              <w:t>OPEN / RE-EVALUATION</w:t>
            </w:r>
          </w:p>
        </w:tc>
        <w:tc>
          <w:tcPr>
            <w:tcW w:type="dxa" w:w="3456"/>
          </w:tcPr>
          <w:p>
            <w:r>
              <w:t>AEP #2 residual and AEP4 dependency for Learning Activity evidence model. It is not an AEP4 decision and must not be claimed closed.</w:t>
            </w:r>
          </w:p>
        </w:tc>
      </w:tr>
      <w:tr>
        <w:tc>
          <w:tcPr>
            <w:tcW w:type="dxa" w:w="3456"/>
          </w:tcPr>
          <w:p>
            <w:r>
              <w:t>MADCR-053</w:t>
            </w:r>
          </w:p>
        </w:tc>
        <w:tc>
          <w:tcPr>
            <w:tcW w:type="dxa" w:w="3456"/>
          </w:tcPr>
          <w:p>
            <w:r>
              <w:t>OPEN / BLOCKED</w:t>
            </w:r>
          </w:p>
        </w:tc>
        <w:tc>
          <w:tcPr>
            <w:tcW w:type="dxa" w:w="3456"/>
          </w:tcPr>
          <w:p>
            <w:r>
              <w:t>New cross-domain permission taxonomy; Batch 4 convergence point. AEP4 conceptual permissions are impact-only, not final permission IDs.</w:t>
            </w:r>
          </w:p>
        </w:tc>
      </w:tr>
      <w:tr>
        <w:tc>
          <w:tcPr>
            <w:tcW w:type="dxa" w:w="3456"/>
          </w:tcPr>
          <w:p>
            <w:r>
              <w:t>MADCR-054</w:t>
            </w:r>
          </w:p>
        </w:tc>
        <w:tc>
          <w:tcPr>
            <w:tcW w:type="dxa" w:w="3456"/>
          </w:tcPr>
          <w:p>
            <w:r>
              <w:t>OPEN / BLOCKED</w:t>
            </w:r>
          </w:p>
        </w:tc>
        <w:tc>
          <w:tcPr>
            <w:tcW w:type="dxa" w:w="3456"/>
          </w:tcPr>
          <w:p>
            <w:r>
              <w:t>Learning Session host/instructor authorization; sub-decision of MADCR-053. Do not infer that Instructor automatically has host authority.</w:t>
            </w:r>
          </w:p>
        </w:tc>
      </w:tr>
      <w:tr>
        <w:tc>
          <w:tcPr>
            <w:tcW w:type="dxa" w:w="3456"/>
          </w:tcPr>
          <w:p>
            <w:r>
              <w:t>MADCR-026</w:t>
            </w:r>
          </w:p>
        </w:tc>
        <w:tc>
          <w:tcPr>
            <w:tcW w:type="dxa" w:w="3456"/>
          </w:tcPr>
          <w:p>
            <w:r>
              <w:t>RESEARCH REQUIRED</w:t>
            </w:r>
          </w:p>
        </w:tc>
        <w:tc>
          <w:tcPr>
            <w:tcW w:type="dxa" w:w="3456"/>
          </w:tcPr>
          <w:p>
            <w:r>
              <w:t>Daily/LiveKit provider capability verification; provider OAuth/quota/pricing evidence.</w:t>
            </w:r>
          </w:p>
        </w:tc>
      </w:tr>
      <w:tr>
        <w:tc>
          <w:tcPr>
            <w:tcW w:type="dxa" w:w="3456"/>
          </w:tcPr>
          <w:p>
            <w:r>
              <w:t>MADCR-027</w:t>
            </w:r>
          </w:p>
        </w:tc>
        <w:tc>
          <w:tcPr>
            <w:tcW w:type="dxa" w:w="3456"/>
          </w:tcPr>
          <w:p>
            <w:r>
              <w:t>RESEARCH REQUIRED</w:t>
            </w:r>
          </w:p>
        </w:tc>
        <w:tc>
          <w:tcPr>
            <w:tcW w:type="dxa" w:w="3456"/>
          </w:tcPr>
          <w:p>
            <w:r>
              <w:t>Zoom/Google Meet provider capability verification.</w:t>
            </w:r>
          </w:p>
        </w:tc>
      </w:tr>
      <w:tr>
        <w:tc>
          <w:tcPr>
            <w:tcW w:type="dxa" w:w="3456"/>
          </w:tcPr>
          <w:p>
            <w:r>
              <w:t>MADCR-028</w:t>
            </w:r>
          </w:p>
        </w:tc>
        <w:tc>
          <w:tcPr>
            <w:tcW w:type="dxa" w:w="3456"/>
          </w:tcPr>
          <w:p>
            <w:r>
              <w:t>RESEARCH REQUIRED</w:t>
            </w:r>
          </w:p>
        </w:tc>
        <w:tc>
          <w:tcPr>
            <w:tcW w:type="dxa" w:w="3456"/>
          </w:tcPr>
          <w:p>
            <w:r>
              <w:t>YouTube Live provider capability verification.</w:t>
            </w:r>
          </w:p>
        </w:tc>
      </w:tr>
      <w:tr>
        <w:tc>
          <w:tcPr>
            <w:tcW w:type="dxa" w:w="3456"/>
          </w:tcPr>
          <w:p>
            <w:r>
              <w:t>MADCR-051 / MADCR-052</w:t>
            </w:r>
          </w:p>
        </w:tc>
        <w:tc>
          <w:tcPr>
            <w:tcW w:type="dxa" w:w="3456"/>
          </w:tcPr>
          <w:p>
            <w:r>
              <w:t>CROSS-DOMAIN / TECHNICAL</w:t>
            </w:r>
          </w:p>
        </w:tc>
        <w:tc>
          <w:tcPr>
            <w:tcW w:type="dxa" w:w="3456"/>
          </w:tcPr>
          <w:p>
            <w:r>
              <w:t>Cross-domain event strategy and final concrete event schemas are separate governance/technical items; AEP4 must not silently claim their final closure.</w:t>
            </w:r>
          </w:p>
        </w:tc>
      </w:tr>
    </w:tbl>
    <w:p>
      <w:pPr>
        <w:pStyle w:val="Heading1"/>
      </w:pPr>
      <w:r>
        <w:t>7. Important Corrections to the Working Process</w:t>
      </w:r>
    </w:p>
    <w:p>
      <w:pPr>
        <w:pStyle w:val="ListBullet"/>
      </w:pPr>
      <w:r>
        <w:t>Do not interpret the project statement 'no ADR OPEN' as meaning all MADCR candidates are closed. MADCR-053/054 are Category-A governance candidates and are still blocked/not yet draftable; they are not the same status field as the 29/28 repo ADR inventory.</w:t>
      </w:r>
    </w:p>
    <w:p>
      <w:pPr>
        <w:pStyle w:val="ListBullet"/>
      </w:pPr>
      <w:r>
        <w:t>Do not convert the PROPOSED Learning Session AEP/BR source into an implementation baseline merely because AEP4 impact artifacts exist. The source itself says Implementation NOT AUTHORIZED.</w:t>
      </w:r>
    </w:p>
    <w:p>
      <w:pPr>
        <w:pStyle w:val="ListBullet"/>
      </w:pPr>
      <w:r>
        <w:t>Do not lock exact RBAC permission IDs inside AEP4 until the current permission catalogue and MADCR-053 are reconciled.</w:t>
      </w:r>
    </w:p>
    <w:p>
      <w:pPr>
        <w:pStyle w:val="ListBullet"/>
      </w:pPr>
      <w:r>
        <w:t>Do not treat candidate provider capability verification as vendor selection. OD-10/OD-11 deliberately keep provider architecture agnostic and avoid universal priority.</w:t>
      </w:r>
    </w:p>
    <w:p>
      <w:pPr>
        <w:pStyle w:val="ListBullet"/>
      </w:pPr>
      <w:r>
        <w:t>Do not collapse M04 Course Enrollment, M05 Event Registration and AEP4 Session Enrollment.</w:t>
      </w:r>
    </w:p>
    <w:p>
      <w:pPr>
        <w:pStyle w:val="ListBullet"/>
      </w:pPr>
      <w:r>
        <w:t>Do not collapse Learning Session lifecycle (DRAFT/SCHEDULED/LIVE/ENDED with exceptions) with Session Enrollment lifecycle (PENDING/ACTIVE/COMPLETED).</w:t>
      </w:r>
    </w:p>
    <w:p>
      <w:pPr>
        <w:pStyle w:val="ListBullet"/>
      </w:pPr>
      <w:r>
        <w:t>Do not treat Session Enrollment COMPLETED as automatic Learning Points, competency, credential or Title.</w:t>
      </w:r>
    </w:p>
    <w:p>
      <w:pPr>
        <w:pStyle w:val="ListBullet"/>
      </w:pPr>
      <w:r>
        <w:t>Do not perform global technical baseline rewrite during AEP4; only record controlled impacts/conflicts until the four-AEP global pass.</w:t>
      </w:r>
    </w:p>
    <w:p>
      <w:pPr>
        <w:pStyle w:val="Heading1"/>
      </w:pPr>
      <w:r>
        <w:t>8. Corrected AEP4 Process Position</w:t>
      </w:r>
    </w:p>
    <w:p>
      <w:r>
        <w:t>Steps 01–10 remain valid as controlled impact artifacts. No prior approved AEP4 decision needs to be reopened. The re-review changes the execution discipline for the remaining steps: Step 11 must explicitly incorporate the source-level LS rules above, distinguish the two independent lifecycles, carry the free-to-learn commercial boundary, and treat MADCR-053/054 as dependencies rather than decisions that AEP4 can close.</w:t>
      </w:r>
    </w:p>
    <w:p>
      <w:pPr>
        <w:pStyle w:val="Heading1"/>
      </w:pPr>
      <w:r>
        <w:t>9. Next Controlled Step</w:t>
      </w:r>
    </w:p>
    <w:p>
      <w:r>
        <w:t>Proceed to STEP 11 — User Flow Impact, using this corrected state as the continuity gate. The flow must cover learner, authorized instructor/host, admin/manager, provider adapter/system, Commercial/Payment outcome, unauthorized paths, provider failure/recovery, duplicate/out-of-order events, provider switching, recording availability, and the distinction between session completion and Learning Activity/LP/credential/title outcomes.</w:t>
      </w:r>
    </w:p>
    <w:p>
      <w:pPr>
        <w:pStyle w:val="Heading1"/>
      </w:pPr>
      <w:r>
        <w:t>10. User Decision Requirement</w:t>
      </w:r>
    </w:p>
    <w:p>
      <w:r>
        <w:t>No new user decision is required before Step 11. The only AEP4-specific open decision remains OD-08 (automatic failover), deliberately deferred. MADCR-053/054 are governance dependencies outside the AEP4 user-decision set and must be carried forward rather than silently closed.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