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RUMAHAGEN — AEP #4 Learning Session</w:t>
        <w:br/>
        <w:t>Step 01 — Governance &amp; Evidence Reconciliation</w:t>
      </w:r>
    </w:p>
    <w:p>
      <w:pPr>
        <w:jc w:val="center"/>
      </w:pPr>
      <w:r>
        <w:rPr>
          <w:i/>
          <w:sz w:val="20"/>
        </w:rPr>
        <w:t>Version 1.0 | Controlled AEP Synchronization Artifact | Implementation NOT AUTHORIZED</w:t>
      </w:r>
    </w:p>
    <w:p>
      <w:pPr>
        <w:pStyle w:val="Heading1"/>
      </w:pPr>
      <w:r>
        <w:rPr>
          <w:sz w:val="26"/>
        </w:rPr>
        <w:t>1. Purpose</w:t>
      </w:r>
    </w:p>
    <w:p>
      <w:pPr>
        <w:spacing w:after="100" w:line="259" w:lineRule="auto"/>
      </w:pPr>
      <w:r>
        <w:t>Dokumen ini menjalankan langkah pertama AEP #4 setelah AEP #3 mencapai controlled semantic-delta synchronization. Tujuannya adalah menetapkan source boundary, governing constraints, evidence baseline, residual governance, dan readiness sebelum keputusan Learning Session dibuat.</w:t>
      </w:r>
    </w:p>
    <w:p>
      <w:pPr>
        <w:spacing w:after="100" w:line="259" w:lineRule="auto"/>
      </w:pPr>
      <w:r>
        <w:t>Dokumen ini tidak mengunci keputusan teknis baru, tidak mengubah approved MADCR/ADR, dan tidak mengotorisasi ERD, schema, API, RBAC implementation, migration, provider integration, atau production implementation.</w:t>
      </w:r>
    </w:p>
    <w:p>
      <w:pPr>
        <w:pStyle w:val="Heading1"/>
      </w:pPr>
      <w:r>
        <w:rPr>
          <w:sz w:val="26"/>
        </w:rPr>
        <w:t>2. Current AEP Gate</w:t>
      </w:r>
    </w:p>
    <w:p>
      <w:pPr>
        <w:spacing w:after="100" w:line="259" w:lineRule="auto"/>
      </w:pPr>
      <w:r>
        <w:t>AEP #1 — Monetization / Commercial + Payment: CONDITIONALLY COMPLETE.</w:t>
      </w:r>
    </w:p>
    <w:p>
      <w:pPr>
        <w:spacing w:after="100" w:line="259" w:lineRule="auto"/>
      </w:pPr>
      <w:r>
        <w:t>AEP #2 — Learning Economy: synchronization complete at its documented domain/downstream gate, with MADCR-049 retained as an independent residual.</w:t>
      </w:r>
    </w:p>
    <w:p>
      <w:pPr>
        <w:spacing w:after="100" w:line="259" w:lineRule="auto"/>
      </w:pPr>
      <w:r>
        <w:t>AEP #3 — Title / Awarding Business Rules: CONTROLLED SYNCHRONIZATION COMPLETE.</w:t>
      </w:r>
    </w:p>
    <w:p>
      <w:pPr>
        <w:spacing w:after="100" w:line="259" w:lineRule="auto"/>
      </w:pPr>
      <w:r>
        <w:t>AEP #4 — Learning Session: NEXT ACTIVE AEP.</w:t>
      </w:r>
    </w:p>
    <w:p>
      <w:pPr>
        <w:spacing w:after="100" w:line="259" w:lineRule="auto"/>
      </w:pPr>
      <w:r>
        <w:t>The locked execution order remains AEP #1 → AEP #2 → AEP #3 → AEP #4. Global project-wide technical/governance synchronization remains deferred until all four AEPs are completed.</w:t>
      </w:r>
    </w:p>
    <w:p>
      <w:pPr>
        <w:pStyle w:val="Heading1"/>
      </w:pPr>
      <w:r>
        <w:rPr>
          <w:sz w:val="26"/>
        </w:rPr>
        <w:t>3. Evidence Corpus Used</w:t>
      </w:r>
    </w:p>
    <w:p>
      <w:pPr>
        <w:spacing w:after="100" w:line="259" w:lineRule="auto"/>
      </w:pPr>
      <w:r>
        <w:t>Primary AEP #4 proposal: RUMAHAGEN_Learning_Session_AEP_and_Business_Rules_v1.0.md — status PROPOSED; contains AEP-LS-001 and BR-LS-001.</w:t>
      </w:r>
    </w:p>
    <w:p>
      <w:pPr>
        <w:spacing w:after="100" w:line="259" w:lineRule="auto"/>
      </w:pPr>
      <w:r>
        <w:t>Supporting architecture concept: Learning_Session_Architecture_Evolution_v2 — future architecture context for Learning Session, provider adapters, session types, candidate providers, workspace integration, and required impact analysis.</w:t>
      </w:r>
    </w:p>
    <w:p>
      <w:pPr>
        <w:spacing w:after="100" w:line="259" w:lineRule="auto"/>
      </w:pPr>
      <w:r>
        <w:t>AEP #2 evidence: Learning Economy architecture/BR artifacts defining Learning Activity, Learning Points, assessment/competency boundaries, provenance, configuration, and the explicit deferral of Learning Session linkage to AEP #4.</w:t>
      </w:r>
    </w:p>
    <w:p>
      <w:pPr>
        <w:spacing w:after="100" w:line="259" w:lineRule="auto"/>
      </w:pPr>
      <w:r>
        <w:t>AEP #3 evidence: controlled synchronization report confirming AEP #3 is complete at semantic-delta level and that AEP #4 is the next locked process gate.</w:t>
      </w:r>
    </w:p>
    <w:p>
      <w:pPr>
        <w:spacing w:after="100" w:line="259" w:lineRule="auto"/>
      </w:pPr>
      <w:r>
        <w:t>AEP synchronization execution lock: per-AEP domain/downstream synchronization is required, while full project-wide technical synchronization is deferred until AEP #1–#4 are complete.</w:t>
      </w:r>
    </w:p>
    <w:p>
      <w:pPr>
        <w:pStyle w:val="Heading1"/>
      </w:pPr>
      <w:r>
        <w:rPr>
          <w:sz w:val="26"/>
        </w:rPr>
        <w:t>4. Canonical Governance Boundaries Carried Into AEP #4</w:t>
      </w:r>
    </w:p>
    <w:p>
      <w:pPr>
        <w:spacing w:after="100" w:line="259" w:lineRule="auto"/>
      </w:pPr>
      <w:r>
        <w:t>Learning Session remains inside the Learning Domain; it is a capability, not a new top-level business domain.</w:t>
      </w:r>
    </w:p>
    <w:p>
      <w:pPr>
        <w:spacing w:after="100" w:line="259" w:lineRule="auto"/>
      </w:pPr>
      <w:r>
        <w:t>External live/video providers are infrastructure. They are not the authority for Learning completion, Learning Points, competency, credentials, or Titles.</w:t>
      </w:r>
    </w:p>
    <w:p>
      <w:pPr>
        <w:spacing w:after="100" w:line="259" w:lineRule="auto"/>
      </w:pPr>
      <w:r>
        <w:t>RUMAHAGEN is the System of Record for Learning Session business state and provenance.</w:t>
      </w:r>
    </w:p>
    <w:p>
      <w:pPr>
        <w:spacing w:after="100" w:line="259" w:lineRule="auto"/>
      </w:pPr>
      <w:r>
        <w:t>Learning Economy remains the authority for Learning Point reward/transaction semantics. A session must not directly manufacture official Learning Point transactions.</w:t>
      </w:r>
    </w:p>
    <w:p>
      <w:pPr>
        <w:spacing w:after="100" w:line="259" w:lineRule="auto"/>
      </w:pPr>
      <w:r>
        <w:t>Attendance is evidence/fact. JOIN does not automatically equal COMPLETION.</w:t>
      </w:r>
    </w:p>
    <w:p>
      <w:pPr>
        <w:spacing w:after="100" w:line="259" w:lineRule="auto"/>
      </w:pPr>
      <w:r>
        <w:t>Session completion is not automatically competency, credential, or Title.</w:t>
      </w:r>
    </w:p>
    <w:p>
      <w:pPr>
        <w:spacing w:after="100" w:line="259" w:lineRule="auto"/>
      </w:pPr>
      <w:r>
        <w:t>Assessment remains an independent competency gate where required.</w:t>
      </w:r>
    </w:p>
    <w:p>
      <w:pPr>
        <w:spacing w:after="100" w:line="259" w:lineRule="auto"/>
      </w:pPr>
      <w:r>
        <w:t>Title/Awarding remains under the approved Awarding architecture. Learning Session does not directly issue Title/Award Instance.</w:t>
      </w:r>
    </w:p>
    <w:p>
      <w:pPr>
        <w:spacing w:after="100" w:line="259" w:lineRule="auto"/>
      </w:pPr>
      <w:r>
        <w:t>Certificate/Credential remains architecturally distinct from M15 Title/Award Instance.</w:t>
      </w:r>
    </w:p>
    <w:p>
      <w:pPr>
        <w:spacing w:after="100" w:line="259" w:lineRule="auto"/>
      </w:pPr>
      <w:r>
        <w:t>Payment remains outside Learning Session business logic; any commercial interaction must consume the owning Commercial/Payment boundary rather than recreate it.</w:t>
      </w:r>
    </w:p>
    <w:p>
      <w:pPr>
        <w:spacing w:after="100" w:line="259" w:lineRule="auto"/>
      </w:pPr>
      <w:r>
        <w:t>Provider events must pass through an integration boundary, be validated, normalized, and handled idempotently.</w:t>
      </w:r>
    </w:p>
    <w:p>
      <w:pPr>
        <w:spacing w:after="100" w:line="259" w:lineRule="auto"/>
      </w:pPr>
      <w:r>
        <w:t>Historical outcomes must remain auditable and reconstructable; provider failure must not erase Learning history.</w:t>
      </w:r>
    </w:p>
    <w:p>
      <w:pPr>
        <w:spacing w:after="100" w:line="259" w:lineRule="auto"/>
      </w:pPr>
      <w:r>
        <w:t>AI may assist Learning Session but cannot become Learning authority.</w:t>
      </w:r>
    </w:p>
    <w:p>
      <w:pPr>
        <w:pStyle w:val="Heading1"/>
      </w:pPr>
      <w:r>
        <w:rPr>
          <w:sz w:val="26"/>
        </w:rPr>
        <w:t>5. Proposed AEP #4 Architecture Already Present in Evidence</w:t>
      </w:r>
    </w:p>
    <w:p>
      <w:pPr>
        <w:spacing w:after="100" w:line="259" w:lineRule="auto"/>
      </w:pPr>
      <w:r>
        <w:t>Learning → Learning Session → Session Orchestrator → Provider Adapter → external provider infrastructure.</w:t>
      </w:r>
    </w:p>
    <w:p>
      <w:pPr>
        <w:spacing w:after="100" w:line="259" w:lineRule="auto"/>
      </w:pPr>
      <w:r>
        <w:t>Candidate session types: BROADCAST, INTERACTIVE, ON_DEMAND.</w:t>
      </w:r>
    </w:p>
    <w:p>
      <w:pPr>
        <w:spacing w:after="100" w:line="259" w:lineRule="auto"/>
      </w:pPr>
      <w:r>
        <w:t>Candidate providers in the current proposal: Daily, LiveKit, Zoom, Google Meet, YouTube Live. Provider role/capability is still subject to verification before implementation.</w:t>
      </w:r>
    </w:p>
    <w:p>
      <w:pPr>
        <w:spacing w:after="100" w:line="259" w:lineRule="auto"/>
      </w:pPr>
      <w:r>
        <w:t>Conceptual lifecycle: DRAFT → SCHEDULED → LIVE → ENDED, with CANCELLED and FAILED branches.</w:t>
      </w:r>
    </w:p>
    <w:p>
      <w:pPr>
        <w:spacing w:after="100" w:line="259" w:lineRule="auto"/>
      </w:pPr>
      <w:r>
        <w:t>Conceptual evidence chain: Provider Participation → Attendance Synchronization → Attendance Evaluation → Completion Policy → Learning Activity Completion → Learning Economy.</w:t>
      </w:r>
    </w:p>
    <w:p>
      <w:pPr>
        <w:spacing w:after="100" w:line="259" w:lineRule="auto"/>
      </w:pPr>
      <w:r>
        <w:t>Recording is an optional Learning artifact/reference and may later support ON_DEMAND learning.</w:t>
      </w:r>
    </w:p>
    <w:p>
      <w:pPr>
        <w:spacing w:after="100" w:line="259" w:lineRule="auto"/>
      </w:pPr>
      <w:r>
        <w:t>Provider switching is controlled and must not reset enrollment, progress, valid historical attendance, Learning Activity, or Learning Points.</w:t>
      </w:r>
    </w:p>
    <w:p>
      <w:pPr>
        <w:pStyle w:val="Heading1"/>
      </w:pPr>
      <w:r>
        <w:rPr>
          <w:sz w:val="26"/>
        </w:rPr>
        <w:t>6. Existing Proposed Business Rules</w:t>
      </w:r>
    </w:p>
    <w:p>
      <w:pPr>
        <w:spacing w:after="100" w:line="259" w:lineRule="auto"/>
      </w:pPr>
      <w:r>
        <w:t>BR-LS-001 is a proposed baseline using the LS-xxx namespace. It contains 80 candidate rules covering domain ownership, provider abstraction, lifecycle, scheduling, access, attendance, Learning Activity, Learning Points, assessment, credential/title boundary, provider events, synchronization, recording, audit/provenance, configuration, workspace, visibility, security, recovery, provider switching, AI, notification, commercial/payment, and historical integrity.</w:t>
      </w:r>
    </w:p>
    <w:p>
      <w:pPr>
        <w:spacing w:after="100" w:line="259" w:lineRule="auto"/>
      </w:pPr>
      <w:r>
        <w:t>The 80 rules are evidence for decision-making, not yet governing rules. They must not be silently promoted to approved business rules without the required AEP #4 decision/reconciliation process.</w:t>
      </w:r>
    </w:p>
    <w:p>
      <w:pPr>
        <w:pStyle w:val="Heading1"/>
      </w:pPr>
      <w:r>
        <w:rPr>
          <w:sz w:val="26"/>
        </w:rPr>
        <w:t>7. Explicit Open Items — Must Not Be Invented</w:t>
      </w:r>
    </w:p>
    <w:p>
      <w:pPr>
        <w:spacing w:after="100" w:line="259" w:lineRule="auto"/>
      </w:pPr>
      <w:r>
        <w:t>Exact attendance formula and minimum attendance percentage.</w:t>
      </w:r>
    </w:p>
    <w:p>
      <w:pPr>
        <w:spacing w:after="100" w:line="259" w:lineRule="auto"/>
      </w:pPr>
      <w:r>
        <w:t>Late-join, early-leave, grace-period, and instructor-override policy.</w:t>
      </w:r>
    </w:p>
    <w:p>
      <w:pPr>
        <w:spacing w:after="100" w:line="259" w:lineRule="auto"/>
      </w:pPr>
      <w:r>
        <w:t>Maximum participant capacity and final visibility taxonomy.</w:t>
      </w:r>
    </w:p>
    <w:p>
      <w:pPr>
        <w:spacing w:after="100" w:line="259" w:lineRule="auto"/>
      </w:pPr>
      <w:r>
        <w:t>Provider fallback and automatic failover behavior.</w:t>
      </w:r>
    </w:p>
    <w:p>
      <w:pPr>
        <w:spacing w:after="100" w:line="259" w:lineRule="auto"/>
      </w:pPr>
      <w:r>
        <w:t>Provider-specific capabilities, OAuth scopes, account plans, quotas/rate limits, pricing, and policy constraints.</w:t>
      </w:r>
    </w:p>
    <w:p>
      <w:pPr>
        <w:spacing w:after="100" w:line="259" w:lineRule="auto"/>
      </w:pPr>
      <w:r>
        <w:t>Recording retention, privacy, transcript, and replay policy.</w:t>
      </w:r>
    </w:p>
    <w:p>
      <w:pPr>
        <w:spacing w:after="100" w:line="259" w:lineRule="auto"/>
      </w:pPr>
      <w:r>
        <w:t>Exact RBAC permission IDs.</w:t>
      </w:r>
    </w:p>
    <w:p>
      <w:pPr>
        <w:spacing w:after="100" w:line="259" w:lineRule="auto"/>
      </w:pPr>
      <w:r>
        <w:t>Exact API contract and event schema.</w:t>
      </w:r>
    </w:p>
    <w:p>
      <w:pPr>
        <w:spacing w:after="100" w:line="259" w:lineRule="auto"/>
      </w:pPr>
      <w:r>
        <w:t>Exact physical ERD/database schema and migration mechanics.</w:t>
      </w:r>
    </w:p>
    <w:p>
      <w:pPr>
        <w:spacing w:after="100" w:line="259" w:lineRule="auto"/>
      </w:pPr>
      <w:r>
        <w:t>Any unresolved Learning Activity evidence boundary affected by MADCR-049 must remain conditional; AEP #4 must not silently close MADCR-049.</w:t>
      </w:r>
    </w:p>
    <w:p>
      <w:pPr>
        <w:pStyle w:val="Heading1"/>
      </w:pPr>
      <w:r>
        <w:rPr>
          <w:sz w:val="26"/>
        </w:rPr>
        <w:t>8. AEP #4 Decision Boundary</w:t>
      </w:r>
    </w:p>
    <w:p>
      <w:pPr>
        <w:spacing w:after="100" w:line="259" w:lineRule="auto"/>
      </w:pPr>
      <w:r>
        <w:t>Step 01 establishes evidence and constraints only.</w:t>
      </w:r>
    </w:p>
    <w:p>
      <w:pPr>
        <w:spacing w:after="100" w:line="259" w:lineRule="auto"/>
      </w:pPr>
      <w:r>
        <w:t>The next step is formal AEP #4 decision formalization: identify which architectural/business-rule choices are already supported by evidence, which require explicit user decision, and which should deliberately remain unlocked for downstream ADR/Business Rule or provider verification.</w:t>
      </w:r>
    </w:p>
    <w:p>
      <w:pPr>
        <w:spacing w:after="100" w:line="259" w:lineRule="auto"/>
      </w:pPr>
      <w:r>
        <w:t>Questions must be asked only where the decision materially affects the Learning Session architecture or business behavior. Technical implementation details must not be prematurely converted into governance decisions.</w:t>
      </w:r>
    </w:p>
    <w:p>
      <w:pPr>
        <w:spacing w:after="100" w:line="259" w:lineRule="auto"/>
      </w:pPr>
      <w:r>
        <w:t>Where evidence does not support a decision, the correct status is OPEN / NOT LOCKED rather than an invented answer.</w:t>
      </w:r>
    </w:p>
    <w:p>
      <w:pPr>
        <w:pStyle w:val="Heading1"/>
      </w:pPr>
      <w:r>
        <w:rPr>
          <w:sz w:val="26"/>
        </w:rPr>
        <w:t>9. Readiness Gate Result</w:t>
      </w:r>
    </w:p>
    <w:p>
      <w:pPr>
        <w:spacing w:after="100" w:line="259" w:lineRule="auto"/>
      </w:pPr>
      <w:r>
        <w:t>RESULT: PASS — AEP #4 is ready to enter the formal decision stage.</w:t>
      </w:r>
    </w:p>
    <w:p>
      <w:pPr>
        <w:spacing w:after="100" w:line="259" w:lineRule="auto"/>
      </w:pPr>
      <w:r>
        <w:t>Reason: the Learning Session proposal, prior Learning Economy boundaries, AEP #3 governing boundaries, and synchronization lock provide a sufficient evidence base to begin decision formalization without reopening earlier AEPs.</w:t>
      </w:r>
    </w:p>
    <w:p>
      <w:pPr>
        <w:spacing w:after="100" w:line="259" w:lineRule="auto"/>
      </w:pPr>
      <w:r>
        <w:t>CONDITION: open decisions must be explicitly separated from already-established invariants, and provider-specific facts must be verified before implementation.</w:t>
      </w:r>
    </w:p>
    <w:p>
      <w:pPr>
        <w:pStyle w:val="Heading1"/>
      </w:pPr>
      <w:r>
        <w:rPr>
          <w:sz w:val="26"/>
        </w:rPr>
        <w:t>10. Next Controlled Step</w:t>
      </w:r>
    </w:p>
    <w:p>
      <w:pPr>
        <w:spacing w:after="100" w:line="259" w:lineRule="auto"/>
      </w:pPr>
      <w:r>
        <w:t>Proceed to AEP4 Step 02 — Decision Formalization / Core Decision Set.</w:t>
      </w:r>
    </w:p>
    <w:p>
      <w:pPr>
        <w:spacing w:after="100" w:line="259" w:lineRule="auto"/>
      </w:pPr>
      <w:r>
        <w:t>The next artifact will contain the controlled decision register and the first decision questions for Learning Session. No ERD/API/schema/RBAC implementation artifact will be finalized before the semantic decision gate is completed.</w:t>
      </w:r>
    </w:p>
    <w:p>
      <w:pPr>
        <w:pStyle w:val="Heading1"/>
      </w:pPr>
      <w:r>
        <w:t>Status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Item</w:t>
            </w:r>
          </w:p>
        </w:tc>
        <w:tc>
          <w:tcPr>
            <w:tcW w:type="dxa" w:w="3360"/>
          </w:tcPr>
          <w:p>
            <w:r>
              <w:t>Status</w:t>
            </w:r>
          </w:p>
        </w:tc>
        <w:tc>
          <w:tcPr>
            <w:tcW w:type="dxa" w:w="3360"/>
          </w:tcPr>
          <w:p>
            <w:r>
              <w:t>Treatment</w:t>
            </w:r>
          </w:p>
        </w:tc>
      </w:tr>
      <w:tr>
        <w:tc>
          <w:tcPr>
            <w:tcW w:type="dxa" w:w="3360"/>
          </w:tcPr>
          <w:p>
            <w:r>
              <w:t>AEP #1</w:t>
            </w:r>
          </w:p>
        </w:tc>
        <w:tc>
          <w:tcPr>
            <w:tcW w:type="dxa" w:w="3360"/>
          </w:tcPr>
          <w:p>
            <w:r>
              <w:t>CONDITIONALLY COMPLETE</w:t>
            </w:r>
          </w:p>
        </w:tc>
        <w:tc>
          <w:tcPr>
            <w:tcW w:type="dxa" w:w="3360"/>
          </w:tcPr>
          <w:p>
            <w:r>
              <w:t>Do not reopen</w:t>
            </w:r>
          </w:p>
        </w:tc>
      </w:tr>
      <w:tr>
        <w:tc>
          <w:tcPr>
            <w:tcW w:type="dxa" w:w="3360"/>
          </w:tcPr>
          <w:p>
            <w:r>
              <w:t>AEP #2</w:t>
            </w:r>
          </w:p>
        </w:tc>
        <w:tc>
          <w:tcPr>
            <w:tcW w:type="dxa" w:w="3360"/>
          </w:tcPr>
          <w:p>
            <w:r>
              <w:t>COMPLETE / residual MADCR-049</w:t>
            </w:r>
          </w:p>
        </w:tc>
        <w:tc>
          <w:tcPr>
            <w:tcW w:type="dxa" w:w="3360"/>
          </w:tcPr>
          <w:p>
            <w:r>
              <w:t>Carry boundary only; do not close residual</w:t>
            </w:r>
          </w:p>
        </w:tc>
      </w:tr>
      <w:tr>
        <w:tc>
          <w:tcPr>
            <w:tcW w:type="dxa" w:w="3360"/>
          </w:tcPr>
          <w:p>
            <w:r>
              <w:t>AEP #3</w:t>
            </w:r>
          </w:p>
        </w:tc>
        <w:tc>
          <w:tcPr>
            <w:tcW w:type="dxa" w:w="3360"/>
          </w:tcPr>
          <w:p>
            <w:r>
              <w:t>CONTROLLED SYNCHRONIZATION COMPLETE</w:t>
            </w:r>
          </w:p>
        </w:tc>
        <w:tc>
          <w:tcPr>
            <w:tcW w:type="dxa" w:w="3360"/>
          </w:tcPr>
          <w:p>
            <w:r>
              <w:t>Do not reopen</w:t>
            </w:r>
          </w:p>
        </w:tc>
      </w:tr>
      <w:tr>
        <w:tc>
          <w:tcPr>
            <w:tcW w:type="dxa" w:w="3360"/>
          </w:tcPr>
          <w:p>
            <w:r>
              <w:t>AEP #4</w:t>
            </w:r>
          </w:p>
        </w:tc>
        <w:tc>
          <w:tcPr>
            <w:tcW w:type="dxa" w:w="3360"/>
          </w:tcPr>
          <w:p>
            <w:r>
              <w:t>NEXT ACTIVE AEP</w:t>
            </w:r>
          </w:p>
        </w:tc>
        <w:tc>
          <w:tcPr>
            <w:tcW w:type="dxa" w:w="3360"/>
          </w:tcPr>
          <w:p>
            <w:r>
              <w:t>Begin formal decision stage</w:t>
            </w:r>
          </w:p>
        </w:tc>
      </w:tr>
      <w:tr>
        <w:tc>
          <w:tcPr>
            <w:tcW w:type="dxa" w:w="3360"/>
          </w:tcPr>
          <w:p>
            <w:r>
              <w:t>Global synchronization</w:t>
            </w:r>
          </w:p>
        </w:tc>
        <w:tc>
          <w:tcPr>
            <w:tcW w:type="dxa" w:w="3360"/>
          </w:tcPr>
          <w:p>
            <w:r>
              <w:t>DEFERRED</w:t>
            </w:r>
          </w:p>
        </w:tc>
        <w:tc>
          <w:tcPr>
            <w:tcW w:type="dxa" w:w="3360"/>
          </w:tcPr>
          <w:p>
            <w:r>
              <w:t>After AEP #4</w:t>
            </w:r>
          </w:p>
        </w:tc>
      </w:tr>
      <w:tr>
        <w:tc>
          <w:tcPr>
            <w:tcW w:type="dxa" w:w="3360"/>
          </w:tcPr>
          <w:p>
            <w:r>
              <w:t>Implementation</w:t>
            </w:r>
          </w:p>
        </w:tc>
        <w:tc>
          <w:tcPr>
            <w:tcW w:type="dxa" w:w="3360"/>
          </w:tcPr>
          <w:p>
            <w:r>
              <w:t>NOT AUTHORIZED</w:t>
            </w:r>
          </w:p>
        </w:tc>
        <w:tc>
          <w:tcPr>
            <w:tcW w:type="dxa" w:w="3360"/>
          </w:tcPr>
          <w:p>
            <w:r>
              <w:t>No physical implementation from this artifact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