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02 — Core Decision Set &amp; Decision Formalization</w:t>
      </w:r>
    </w:p>
    <w:p>
      <w:pPr>
        <w:jc w:val="center"/>
      </w:pPr>
      <w:r>
        <w:rPr>
          <w:i/>
          <w:sz w:val="18"/>
        </w:rPr>
        <w:t>Version 1.0 | Decision Gate Artifact | User Decisions Required | Implementation NOT AUTHORIZED</w:t>
      </w:r>
    </w:p>
    <w:p>
      <w:pPr>
        <w:pStyle w:val="Heading1"/>
      </w:pPr>
      <w:r>
        <w:t>1. Step Objective</w:t>
      </w:r>
    </w:p>
    <w:p>
      <w:r>
        <w:t>Step 02 converts the evidence reconciled in Step 01 into a controlled decision register. It separates already-governed invariants from true user decisions, provider-verification items, and downstream implementation details. The Learning Session proposal remains PROPOSED; its 80 candidate LS rules are evidence for decision-making, not governing rules.</w:t>
      </w:r>
    </w:p>
    <w:p>
      <w:pPr>
        <w:pStyle w:val="Heading1"/>
      </w:pPr>
      <w:r>
        <w:t>2. Source Boundary</w:t>
      </w:r>
    </w:p>
    <w:p>
      <w:r>
        <w:t>The current Learning Session architecture evidence defines Learning Session as a capability inside Learning, with provider adapters and candidate session types/providers. The architecture-evolution source explicitly states that it is future architecture context, not a final ERD, schema, API contract, permission matrix or ADR. fileciteturn3file10</w:t>
      </w:r>
    </w:p>
    <w:p>
      <w:r>
        <w:t>Step 01 already established that exact attendance formula, provider fallback, provider-specific capabilities, recording policy, exact RBAC/API/event schema and physical database mechanics are not to be invented at this stage. fileciteturn4file0</w:t>
      </w:r>
    </w:p>
    <w:p>
      <w:pPr>
        <w:pStyle w:val="Heading1"/>
      </w:pPr>
      <w:r>
        <w:t>3. Already Governed — No User Re-Decision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Decision area</w:t>
            </w:r>
          </w:p>
        </w:tc>
        <w:tc>
          <w:tcPr>
            <w:tcW w:type="dxa" w:w="3456"/>
          </w:tcPr>
          <w:p>
            <w:r>
              <w:t>Canonical treatment</w:t>
            </w:r>
          </w:p>
        </w:tc>
      </w:tr>
      <w:tr>
        <w:tc>
          <w:tcPr>
            <w:tcW w:type="dxa" w:w="3456"/>
          </w:tcPr>
          <w:p>
            <w:r>
              <w:t>GOV-01</w:t>
            </w:r>
          </w:p>
        </w:tc>
        <w:tc>
          <w:tcPr>
            <w:tcW w:type="dxa" w:w="3456"/>
          </w:tcPr>
          <w:p>
            <w:r>
              <w:t>Learning Session ownership</w:t>
            </w:r>
          </w:p>
        </w:tc>
        <w:tc>
          <w:tcPr>
            <w:tcW w:type="dxa" w:w="3456"/>
          </w:tcPr>
          <w:p>
            <w:r>
              <w:t>GOVERNED — Learning Session remains a Learning capability; not a new top-level domain.</w:t>
            </w:r>
          </w:p>
        </w:tc>
      </w:tr>
      <w:tr>
        <w:tc>
          <w:tcPr>
            <w:tcW w:type="dxa" w:w="3456"/>
          </w:tcPr>
          <w:p>
            <w:r>
              <w:t>GOV-02</w:t>
            </w:r>
          </w:p>
        </w:tc>
        <w:tc>
          <w:tcPr>
            <w:tcW w:type="dxa" w:w="3456"/>
          </w:tcPr>
          <w:p>
            <w:r>
              <w:t>System of Record</w:t>
            </w:r>
          </w:p>
        </w:tc>
        <w:tc>
          <w:tcPr>
            <w:tcW w:type="dxa" w:w="3456"/>
          </w:tcPr>
          <w:p>
            <w:r>
              <w:t>GOVERNED — RUMAHAGEN owns session business state/provenance; providers are infrastructure.</w:t>
            </w:r>
          </w:p>
        </w:tc>
      </w:tr>
      <w:tr>
        <w:tc>
          <w:tcPr>
            <w:tcW w:type="dxa" w:w="3456"/>
          </w:tcPr>
          <w:p>
            <w:r>
              <w:t>GOV-03</w:t>
            </w:r>
          </w:p>
        </w:tc>
        <w:tc>
          <w:tcPr>
            <w:tcW w:type="dxa" w:w="3456"/>
          </w:tcPr>
          <w:p>
            <w:r>
              <w:t>Provider abstraction</w:t>
            </w:r>
          </w:p>
        </w:tc>
        <w:tc>
          <w:tcPr>
            <w:tcW w:type="dxa" w:w="3456"/>
          </w:tcPr>
          <w:p>
            <w:r>
              <w:t>GOVERNED DIRECTION — Provider Adapter boundary is established conceptually; exact provider contracts remain open.</w:t>
            </w:r>
          </w:p>
        </w:tc>
      </w:tr>
      <w:tr>
        <w:tc>
          <w:tcPr>
            <w:tcW w:type="dxa" w:w="3456"/>
          </w:tcPr>
          <w:p>
            <w:r>
              <w:t>GOV-04</w:t>
            </w:r>
          </w:p>
        </w:tc>
        <w:tc>
          <w:tcPr>
            <w:tcW w:type="dxa" w:w="3456"/>
          </w:tcPr>
          <w:p>
            <w:r>
              <w:t>Learning Economy boundary</w:t>
            </w:r>
          </w:p>
        </w:tc>
        <w:tc>
          <w:tcPr>
            <w:tcW w:type="dxa" w:w="3456"/>
          </w:tcPr>
          <w:p>
            <w:r>
              <w:t>GOVERNED — Session does not directly create official Learning Point transactions.</w:t>
            </w:r>
          </w:p>
        </w:tc>
      </w:tr>
      <w:tr>
        <w:tc>
          <w:tcPr>
            <w:tcW w:type="dxa" w:w="3456"/>
          </w:tcPr>
          <w:p>
            <w:r>
              <w:t>GOV-05</w:t>
            </w:r>
          </w:p>
        </w:tc>
        <w:tc>
          <w:tcPr>
            <w:tcW w:type="dxa" w:w="3456"/>
          </w:tcPr>
          <w:p>
            <w:r>
              <w:t>Completion boundary</w:t>
            </w:r>
          </w:p>
        </w:tc>
        <w:tc>
          <w:tcPr>
            <w:tcW w:type="dxa" w:w="3456"/>
          </w:tcPr>
          <w:p>
            <w:r>
              <w:t>GOVERNED — JOIN/attendance evidence is not automatically completion; completion is distinct from competency/credential/title.</w:t>
            </w:r>
          </w:p>
        </w:tc>
      </w:tr>
      <w:tr>
        <w:tc>
          <w:tcPr>
            <w:tcW w:type="dxa" w:w="3456"/>
          </w:tcPr>
          <w:p>
            <w:r>
              <w:t>GOV-06</w:t>
            </w:r>
          </w:p>
        </w:tc>
        <w:tc>
          <w:tcPr>
            <w:tcW w:type="dxa" w:w="3456"/>
          </w:tcPr>
          <w:p>
            <w:r>
              <w:t>Awarding boundary</w:t>
            </w:r>
          </w:p>
        </w:tc>
        <w:tc>
          <w:tcPr>
            <w:tcW w:type="dxa" w:w="3456"/>
          </w:tcPr>
          <w:p>
            <w:r>
              <w:t>GOVERNED — Learning Session does not issue M15 Award Instance; learning evidence crosses into Awarding through governed boundaries.</w:t>
            </w:r>
          </w:p>
        </w:tc>
      </w:tr>
      <w:tr>
        <w:tc>
          <w:tcPr>
            <w:tcW w:type="dxa" w:w="3456"/>
          </w:tcPr>
          <w:p>
            <w:r>
              <w:t>GOV-07</w:t>
            </w:r>
          </w:p>
        </w:tc>
        <w:tc>
          <w:tcPr>
            <w:tcW w:type="dxa" w:w="3456"/>
          </w:tcPr>
          <w:p>
            <w:r>
              <w:t>Certificate boundary</w:t>
            </w:r>
          </w:p>
        </w:tc>
        <w:tc>
          <w:tcPr>
            <w:tcW w:type="dxa" w:w="3456"/>
          </w:tcPr>
          <w:p>
            <w:r>
              <w:t>GOVERNED — M04 Certificate/Credential remains distinct from M15 Title/Award Instance.</w:t>
            </w:r>
          </w:p>
        </w:tc>
      </w:tr>
      <w:tr>
        <w:tc>
          <w:tcPr>
            <w:tcW w:type="dxa" w:w="3456"/>
          </w:tcPr>
          <w:p>
            <w:r>
              <w:t>GOV-08</w:t>
            </w:r>
          </w:p>
        </w:tc>
        <w:tc>
          <w:tcPr>
            <w:tcW w:type="dxa" w:w="3456"/>
          </w:tcPr>
          <w:p>
            <w:r>
              <w:t>Payment boundary</w:t>
            </w:r>
          </w:p>
        </w:tc>
        <w:tc>
          <w:tcPr>
            <w:tcW w:type="dxa" w:w="3456"/>
          </w:tcPr>
          <w:p>
            <w:r>
              <w:t>GOVERNED — Payment remains Commercial-owned; Learning Session does not embed payment gateway logic.</w:t>
            </w:r>
          </w:p>
        </w:tc>
      </w:tr>
      <w:tr>
        <w:tc>
          <w:tcPr>
            <w:tcW w:type="dxa" w:w="3456"/>
          </w:tcPr>
          <w:p>
            <w:r>
              <w:t>GOV-09</w:t>
            </w:r>
          </w:p>
        </w:tc>
        <w:tc>
          <w:tcPr>
            <w:tcW w:type="dxa" w:w="3456"/>
          </w:tcPr>
          <w:p>
            <w:r>
              <w:t>Provider event integrity</w:t>
            </w:r>
          </w:p>
        </w:tc>
        <w:tc>
          <w:tcPr>
            <w:tcW w:type="dxa" w:w="3456"/>
          </w:tcPr>
          <w:p>
            <w:r>
              <w:t>GOVERNED DIRECTION — Provider events must be validated/normalized and handled idempotently.</w:t>
            </w:r>
          </w:p>
        </w:tc>
      </w:tr>
      <w:tr>
        <w:tc>
          <w:tcPr>
            <w:tcW w:type="dxa" w:w="3456"/>
          </w:tcPr>
          <w:p>
            <w:r>
              <w:t>GOV-10</w:t>
            </w:r>
          </w:p>
        </w:tc>
        <w:tc>
          <w:tcPr>
            <w:tcW w:type="dxa" w:w="3456"/>
          </w:tcPr>
          <w:p>
            <w:r>
              <w:t>Historical integrity</w:t>
            </w:r>
          </w:p>
        </w:tc>
        <w:tc>
          <w:tcPr>
            <w:tcW w:type="dxa" w:w="3456"/>
          </w:tcPr>
          <w:p>
            <w:r>
              <w:t>GOVERNED DIRECTION — Historical learning/session outcomes remain auditable and reconstructable.</w:t>
            </w:r>
          </w:p>
        </w:tc>
      </w:tr>
    </w:tbl>
    <w:p>
      <w:pPr>
        <w:pStyle w:val="Heading1"/>
      </w:pPr>
      <w:r>
        <w:t>4. Core Open Decisions Requiring User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Decision</w:t>
            </w:r>
          </w:p>
        </w:tc>
        <w:tc>
          <w:tcPr>
            <w:tcW w:type="dxa" w:w="2074"/>
          </w:tcPr>
          <w:p>
            <w:r>
              <w:t>Question</w:t>
            </w:r>
          </w:p>
        </w:tc>
        <w:tc>
          <w:tcPr>
            <w:tcW w:type="dxa" w:w="2074"/>
          </w:tcPr>
          <w:p>
            <w:r>
              <w:t>Options</w:t>
            </w:r>
          </w:p>
        </w:tc>
        <w:tc>
          <w:tcPr>
            <w:tcW w:type="dxa" w:w="2074"/>
          </w:tcPr>
          <w:p>
            <w:r>
              <w:t>Lead recommendation</w:t>
            </w:r>
          </w:p>
        </w:tc>
      </w:tr>
      <w:tr>
        <w:tc>
          <w:tcPr>
            <w:tcW w:type="dxa" w:w="2074"/>
          </w:tcPr>
          <w:p>
            <w:r>
              <w:t>AEP4-OD-01</w:t>
            </w:r>
          </w:p>
        </w:tc>
        <w:tc>
          <w:tcPr>
            <w:tcW w:type="dxa" w:w="2074"/>
          </w:tcPr>
          <w:p>
            <w:r>
              <w:t>Session type scope</w:t>
            </w:r>
          </w:p>
        </w:tc>
        <w:tc>
          <w:tcPr>
            <w:tcW w:type="dxa" w:w="2074"/>
          </w:tcPr>
          <w:p>
            <w:r>
              <w:t>Should the three proposed types BROADCAST, INTERACTIVE, ON_DEMAND become the canonical semantic taxonomy?</w:t>
            </w:r>
          </w:p>
        </w:tc>
        <w:tc>
          <w:tcPr>
            <w:tcW w:type="dxa" w:w="2074"/>
          </w:tcPr>
          <w:p>
            <w:r>
              <w:t>A YES / B Keep open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AEP4-OD-02</w:t>
            </w:r>
          </w:p>
        </w:tc>
        <w:tc>
          <w:tcPr>
            <w:tcW w:type="dxa" w:w="2074"/>
          </w:tcPr>
          <w:p>
            <w:r>
              <w:t>Session lifecycle</w:t>
            </w:r>
          </w:p>
        </w:tc>
        <w:tc>
          <w:tcPr>
            <w:tcW w:type="dxa" w:w="2074"/>
          </w:tcPr>
          <w:p>
            <w:r>
              <w:t>Should DRAFT → SCHEDULED → LIVE → ENDED, with CANCELLED and FAILED, be the canonical semantic lifecycle?</w:t>
            </w:r>
          </w:p>
        </w:tc>
        <w:tc>
          <w:tcPr>
            <w:tcW w:type="dxa" w:w="2074"/>
          </w:tcPr>
          <w:p>
            <w:r>
              <w:t>A YES / B Keep open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AEP4-OD-03</w:t>
            </w:r>
          </w:p>
        </w:tc>
        <w:tc>
          <w:tcPr>
            <w:tcW w:type="dxa" w:w="2074"/>
          </w:tcPr>
          <w:p>
            <w:r>
              <w:t>Attendance authority</w:t>
            </w:r>
          </w:p>
        </w:tc>
        <w:tc>
          <w:tcPr>
            <w:tcW w:type="dxa" w:w="2074"/>
          </w:tcPr>
          <w:p>
            <w:r>
              <w:t>Should provider participation be evidence that RUMAHAGEN evaluates into attendance, rather than provider attendance being final business truth?</w:t>
            </w:r>
          </w:p>
        </w:tc>
        <w:tc>
          <w:tcPr>
            <w:tcW w:type="dxa" w:w="2074"/>
          </w:tcPr>
          <w:p>
            <w:r>
              <w:t>A RUMAHAGEN evaluates / B Provider authoritative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AEP4-OD-04</w:t>
            </w:r>
          </w:p>
        </w:tc>
        <w:tc>
          <w:tcPr>
            <w:tcW w:type="dxa" w:w="2074"/>
          </w:tcPr>
          <w:p>
            <w:r>
              <w:t>Completion authority</w:t>
            </w:r>
          </w:p>
        </w:tc>
        <w:tc>
          <w:tcPr>
            <w:tcW w:type="dxa" w:w="2074"/>
          </w:tcPr>
          <w:p>
            <w:r>
              <w:t>Should completion be produced only by a governed completion policy consuming normalized evidence, not directly by provider joined/ended events?</w:t>
            </w:r>
          </w:p>
        </w:tc>
        <w:tc>
          <w:tcPr>
            <w:tcW w:type="dxa" w:w="2074"/>
          </w:tcPr>
          <w:p>
            <w:r>
              <w:t>A Policy/evidence driven / B Provider event direct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AEP4-OD-05</w:t>
            </w:r>
          </w:p>
        </w:tc>
        <w:tc>
          <w:tcPr>
            <w:tcW w:type="dxa" w:w="2074"/>
          </w:tcPr>
          <w:p>
            <w:r>
              <w:t>Attendance policy</w:t>
            </w:r>
          </w:p>
        </w:tc>
        <w:tc>
          <w:tcPr>
            <w:tcW w:type="dxa" w:w="2074"/>
          </w:tcPr>
          <w:p>
            <w:r>
              <w:t>Should minimum attendance %, late join, early leave, grace period and instructor override be governed configurable parameters where enabled?</w:t>
            </w:r>
          </w:p>
        </w:tc>
        <w:tc>
          <w:tcPr>
            <w:tcW w:type="dxa" w:w="2074"/>
          </w:tcPr>
          <w:p>
            <w:r>
              <w:t>A Configurable / B Fixed / C Fully open</w:t>
            </w:r>
          </w:p>
        </w:tc>
        <w:tc>
          <w:tcPr>
            <w:tcW w:type="dxa" w:w="2074"/>
          </w:tcPr>
          <w:p>
            <w:r>
              <w:t>Recommend A for parameterization; exact values later</w:t>
            </w:r>
          </w:p>
        </w:tc>
      </w:tr>
      <w:tr>
        <w:tc>
          <w:tcPr>
            <w:tcW w:type="dxa" w:w="2074"/>
          </w:tcPr>
          <w:p>
            <w:r>
              <w:t>AEP4-OD-06</w:t>
            </w:r>
          </w:p>
        </w:tc>
        <w:tc>
          <w:tcPr>
            <w:tcW w:type="dxa" w:w="2074"/>
          </w:tcPr>
          <w:p>
            <w:r>
              <w:t>Learning Activity linkage</w:t>
            </w:r>
          </w:p>
        </w:tc>
        <w:tc>
          <w:tcPr>
            <w:tcW w:type="dxa" w:w="2074"/>
          </w:tcPr>
          <w:p>
            <w:r>
              <w:t>When a session qualifies as learning evidence, should it feed the Learning Activity boundary rather than directly mutate Learning Points?</w:t>
            </w:r>
          </w:p>
        </w:tc>
        <w:tc>
          <w:tcPr>
            <w:tcW w:type="dxa" w:w="2074"/>
          </w:tcPr>
          <w:p>
            <w:r>
              <w:t>A Evidence/activity / B Direct LP</w:t>
            </w:r>
          </w:p>
        </w:tc>
        <w:tc>
          <w:tcPr>
            <w:tcW w:type="dxa" w:w="2074"/>
          </w:tcPr>
          <w:p>
            <w:r>
              <w:t>Recommend A; MADCR-049 remains conditional</w:t>
            </w:r>
          </w:p>
        </w:tc>
      </w:tr>
      <w:tr>
        <w:tc>
          <w:tcPr>
            <w:tcW w:type="dxa" w:w="2074"/>
          </w:tcPr>
          <w:p>
            <w:r>
              <w:t>AEP4-OD-07</w:t>
            </w:r>
          </w:p>
        </w:tc>
        <w:tc>
          <w:tcPr>
            <w:tcW w:type="dxa" w:w="2074"/>
          </w:tcPr>
          <w:p>
            <w:r>
              <w:t>Provider switching</w:t>
            </w:r>
          </w:p>
        </w:tc>
        <w:tc>
          <w:tcPr>
            <w:tcW w:type="dxa" w:w="2074"/>
          </w:tcPr>
          <w:p>
            <w:r>
              <w:t>Should provider changes preserve semantic session identity, enrollment, valid history and learning outcomes?</w:t>
            </w:r>
          </w:p>
        </w:tc>
        <w:tc>
          <w:tcPr>
            <w:tcW w:type="dxa" w:w="2074"/>
          </w:tcPr>
          <w:p>
            <w:r>
              <w:t>A Preserve continuity / B New session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AEP4-OD-08</w:t>
            </w:r>
          </w:p>
        </w:tc>
        <w:tc>
          <w:tcPr>
            <w:tcW w:type="dxa" w:w="2074"/>
          </w:tcPr>
          <w:p>
            <w:r>
              <w:t>Provider failover</w:t>
            </w:r>
          </w:p>
        </w:tc>
        <w:tc>
          <w:tcPr>
            <w:tcW w:type="dxa" w:w="2074"/>
          </w:tcPr>
          <w:p>
            <w:r>
              <w:t>Should automatic cross-provider failover be a governing capability?</w:t>
            </w:r>
          </w:p>
        </w:tc>
        <w:tc>
          <w:tcPr>
            <w:tcW w:type="dxa" w:w="2074"/>
          </w:tcPr>
          <w:p>
            <w:r>
              <w:t>A YES / B Manual / C Leave open</w:t>
            </w:r>
          </w:p>
        </w:tc>
        <w:tc>
          <w:tcPr>
            <w:tcW w:type="dxa" w:w="2074"/>
          </w:tcPr>
          <w:p>
            <w:r>
              <w:t>Recommend C; evidence insufficient</w:t>
            </w:r>
          </w:p>
        </w:tc>
      </w:tr>
      <w:tr>
        <w:tc>
          <w:tcPr>
            <w:tcW w:type="dxa" w:w="2074"/>
          </w:tcPr>
          <w:p>
            <w:r>
              <w:t>AEP4-OD-09</w:t>
            </w:r>
          </w:p>
        </w:tc>
        <w:tc>
          <w:tcPr>
            <w:tcW w:type="dxa" w:w="2074"/>
          </w:tcPr>
          <w:p>
            <w:r>
              <w:t>Recording</w:t>
            </w:r>
          </w:p>
        </w:tc>
        <w:tc>
          <w:tcPr>
            <w:tcW w:type="dxa" w:w="2074"/>
          </w:tcPr>
          <w:p>
            <w:r>
              <w:t>Should recording be an optional session artifact/reference, separate from live attendance/completion authority, and potentially usable for ON_DEMAND?</w:t>
            </w:r>
          </w:p>
        </w:tc>
        <w:tc>
          <w:tcPr>
            <w:tcW w:type="dxa" w:w="2074"/>
          </w:tcPr>
          <w:p>
            <w:r>
              <w:t>A YES / B Outside AEP #4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AEP4-OD-10</w:t>
            </w:r>
          </w:p>
        </w:tc>
        <w:tc>
          <w:tcPr>
            <w:tcW w:type="dxa" w:w="2074"/>
          </w:tcPr>
          <w:p>
            <w:r>
              <w:t>Provider set</w:t>
            </w:r>
          </w:p>
        </w:tc>
        <w:tc>
          <w:tcPr>
            <w:tcW w:type="dxa" w:w="2074"/>
          </w:tcPr>
          <w:p>
            <w:r>
              <w:t>Should Daily, LiveKit, Zoom, Google Meet and YouTube Live be locked as mandatory supported providers?</w:t>
            </w:r>
          </w:p>
        </w:tc>
        <w:tc>
          <w:tcPr>
            <w:tcW w:type="dxa" w:w="2074"/>
          </w:tcPr>
          <w:p>
            <w:r>
              <w:t>A All mandatory / B Architecture only; verify providers</w:t>
            </w:r>
          </w:p>
        </w:tc>
        <w:tc>
          <w:tcPr>
            <w:tcW w:type="dxa" w:w="2074"/>
          </w:tcPr>
          <w:p>
            <w:r>
              <w:t>Recommend B</w:t>
            </w:r>
          </w:p>
        </w:tc>
      </w:tr>
      <w:tr>
        <w:tc>
          <w:tcPr>
            <w:tcW w:type="dxa" w:w="2074"/>
          </w:tcPr>
          <w:p>
            <w:r>
              <w:t>AEP4-OD-11</w:t>
            </w:r>
          </w:p>
        </w:tc>
        <w:tc>
          <w:tcPr>
            <w:tcW w:type="dxa" w:w="2074"/>
          </w:tcPr>
          <w:p>
            <w:r>
              <w:t>Provider priority</w:t>
            </w:r>
          </w:p>
        </w:tc>
        <w:tc>
          <w:tcPr>
            <w:tcW w:type="dxa" w:w="2074"/>
          </w:tcPr>
          <w:p>
            <w:r>
              <w:t>Should AEP #4 define a universal provider priority/fallback order?</w:t>
            </w:r>
          </w:p>
        </w:tc>
        <w:tc>
          <w:tcPr>
            <w:tcW w:type="dxa" w:w="2074"/>
          </w:tcPr>
          <w:p>
            <w:r>
              <w:t>A YES / B NO / C Configurable</w:t>
            </w:r>
          </w:p>
        </w:tc>
        <w:tc>
          <w:tcPr>
            <w:tcW w:type="dxa" w:w="2074"/>
          </w:tcPr>
          <w:p>
            <w:r>
              <w:t>Recommend B/C</w:t>
            </w:r>
          </w:p>
        </w:tc>
      </w:tr>
      <w:tr>
        <w:tc>
          <w:tcPr>
            <w:tcW w:type="dxa" w:w="2074"/>
          </w:tcPr>
          <w:p>
            <w:r>
              <w:t>AEP4-OD-12</w:t>
            </w:r>
          </w:p>
        </w:tc>
        <w:tc>
          <w:tcPr>
            <w:tcW w:type="dxa" w:w="2074"/>
          </w:tcPr>
          <w:p>
            <w:r>
              <w:t>AI role</w:t>
            </w:r>
          </w:p>
        </w:tc>
        <w:tc>
          <w:tcPr>
            <w:tcW w:type="dxa" w:w="2074"/>
          </w:tcPr>
          <w:p>
            <w:r>
              <w:t>Should AI remain assistive only and never become authority for attendance, completion, LP, competency, credential or Title?</w:t>
            </w:r>
          </w:p>
        </w:tc>
        <w:tc>
          <w:tcPr>
            <w:tcW w:type="dxa" w:w="2074"/>
          </w:tcPr>
          <w:p>
            <w:r>
              <w:t>A YES / B AI may decide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AEP4-OD-13</w:t>
            </w:r>
          </w:p>
        </w:tc>
        <w:tc>
          <w:tcPr>
            <w:tcW w:type="dxa" w:w="2074"/>
          </w:tcPr>
          <w:p>
            <w:r>
              <w:t>Commercial boundary</w:t>
            </w:r>
          </w:p>
        </w:tc>
        <w:tc>
          <w:tcPr>
            <w:tcW w:type="dxa" w:w="2074"/>
          </w:tcPr>
          <w:p>
            <w:r>
              <w:t>Should paid session access, if later used, consume Commercial/Payment outcomes without embedding payment rules in Learning Session?</w:t>
            </w:r>
          </w:p>
        </w:tc>
        <w:tc>
          <w:tcPr>
            <w:tcW w:type="dxa" w:w="2074"/>
          </w:tcPr>
          <w:p>
            <w:r>
              <w:t>A YES / B Session owns payment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AEP4-OD-14</w:t>
            </w:r>
          </w:p>
        </w:tc>
        <w:tc>
          <w:tcPr>
            <w:tcW w:type="dxa" w:w="2074"/>
          </w:tcPr>
          <w:p>
            <w:r>
              <w:t>Workspace context</w:t>
            </w:r>
          </w:p>
        </w:tc>
        <w:tc>
          <w:tcPr>
            <w:tcW w:type="dxa" w:w="2074"/>
          </w:tcPr>
          <w:p>
            <w:r>
              <w:t>Should Workspace/organization context be part of the semantic session boundary where applicable, while exact authority cardinality stays downstream?</w:t>
            </w:r>
          </w:p>
        </w:tc>
        <w:tc>
          <w:tcPr>
            <w:tcW w:type="dxa" w:w="2074"/>
          </w:tcPr>
          <w:p>
            <w:r>
              <w:t>A YES / B NO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  <w:tr>
        <w:tc>
          <w:tcPr>
            <w:tcW w:type="dxa" w:w="2074"/>
          </w:tcPr>
          <w:p>
            <w:r>
              <w:t>AEP4-OD-15</w:t>
            </w:r>
          </w:p>
        </w:tc>
        <w:tc>
          <w:tcPr>
            <w:tcW w:type="dxa" w:w="2074"/>
          </w:tcPr>
          <w:p>
            <w:r>
              <w:t>Visibility</w:t>
            </w:r>
          </w:p>
        </w:tc>
        <w:tc>
          <w:tcPr>
            <w:tcW w:type="dxa" w:w="2074"/>
          </w:tcPr>
          <w:p>
            <w:r>
              <w:t>Should visibility be a governed session property while exact visibility values remain a Business Rule/configuration decision?</w:t>
            </w:r>
          </w:p>
        </w:tc>
        <w:tc>
          <w:tcPr>
            <w:tcW w:type="dxa" w:w="2074"/>
          </w:tcPr>
          <w:p>
            <w:r>
              <w:t>A YES / B NO</w:t>
            </w:r>
          </w:p>
        </w:tc>
        <w:tc>
          <w:tcPr>
            <w:tcW w:type="dxa" w:w="2074"/>
          </w:tcPr>
          <w:p>
            <w:r>
              <w:t>Recommend A</w:t>
            </w:r>
          </w:p>
        </w:tc>
      </w:tr>
    </w:tbl>
    <w:p>
      <w:pPr>
        <w:pStyle w:val="Heading1"/>
      </w:pPr>
      <w:r>
        <w:t>5. Deliberately Deferred / Not Decision-Ready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Item</w:t>
            </w:r>
          </w:p>
        </w:tc>
        <w:tc>
          <w:tcPr>
            <w:tcW w:type="dxa" w:w="3456"/>
          </w:tcPr>
          <w:p>
            <w:r>
              <w:t>Classification</w:t>
            </w:r>
          </w:p>
        </w:tc>
        <w:tc>
          <w:tcPr>
            <w:tcW w:type="dxa" w:w="3456"/>
          </w:tcPr>
          <w:p>
            <w:r>
              <w:t>Treatment</w:t>
            </w:r>
          </w:p>
        </w:tc>
      </w:tr>
      <w:tr>
        <w:tc>
          <w:tcPr>
            <w:tcW w:type="dxa" w:w="3456"/>
          </w:tcPr>
          <w:p>
            <w:r>
              <w:t>Provider OAuth scopes / plans / quotas / pricing</w:t>
            </w:r>
          </w:p>
        </w:tc>
        <w:tc>
          <w:tcPr>
            <w:tcW w:type="dxa" w:w="3456"/>
          </w:tcPr>
          <w:p>
            <w:r>
              <w:t>EVIDENCE VERIFICATION</w:t>
            </w:r>
          </w:p>
        </w:tc>
        <w:tc>
          <w:tcPr>
            <w:tcW w:type="dxa" w:w="3456"/>
          </w:tcPr>
          <w:p>
            <w:r>
              <w:t>Verify provider-specific facts before implementation.</w:t>
            </w:r>
          </w:p>
        </w:tc>
      </w:tr>
      <w:tr>
        <w:tc>
          <w:tcPr>
            <w:tcW w:type="dxa" w:w="3456"/>
          </w:tcPr>
          <w:p>
            <w:r>
              <w:t>Exact attendance percentage / grace values</w:t>
            </w:r>
          </w:p>
        </w:tc>
        <w:tc>
          <w:tcPr>
            <w:tcW w:type="dxa" w:w="3456"/>
          </w:tcPr>
          <w:p>
            <w:r>
              <w:t>BUSINESS RULE / CONFIG</w:t>
            </w:r>
          </w:p>
        </w:tc>
        <w:tc>
          <w:tcPr>
            <w:tcW w:type="dxa" w:w="3456"/>
          </w:tcPr>
          <w:p>
            <w:r>
              <w:t>Do not invent values in architecture.</w:t>
            </w:r>
          </w:p>
        </w:tc>
      </w:tr>
      <w:tr>
        <w:tc>
          <w:tcPr>
            <w:tcW w:type="dxa" w:w="3456"/>
          </w:tcPr>
          <w:p>
            <w:r>
              <w:t>Exact provider capability matrix</w:t>
            </w:r>
          </w:p>
        </w:tc>
        <w:tc>
          <w:tcPr>
            <w:tcW w:type="dxa" w:w="3456"/>
          </w:tcPr>
          <w:p>
            <w:r>
              <w:t>PROVIDER VERIFICATION</w:t>
            </w:r>
          </w:p>
        </w:tc>
        <w:tc>
          <w:tcPr>
            <w:tcW w:type="dxa" w:w="3456"/>
          </w:tcPr>
          <w:p>
            <w:r>
              <w:t>Verify Daily, LiveKit, Zoom, Google Meet and YouTube Live.</w:t>
            </w:r>
          </w:p>
        </w:tc>
      </w:tr>
      <w:tr>
        <w:tc>
          <w:tcPr>
            <w:tcW w:type="dxa" w:w="3456"/>
          </w:tcPr>
          <w:p>
            <w:r>
              <w:t>Exact API/event payloads</w:t>
            </w:r>
          </w:p>
        </w:tc>
        <w:tc>
          <w:tcPr>
            <w:tcW w:type="dxa" w:w="3456"/>
          </w:tcPr>
          <w:p>
            <w:r>
              <w:t>DOWNSTREAM</w:t>
            </w:r>
          </w:p>
        </w:tc>
        <w:tc>
          <w:tcPr>
            <w:tcW w:type="dxa" w:w="3456"/>
          </w:tcPr>
          <w:p>
            <w:r>
              <w:t>Not a Step 02 decision.</w:t>
            </w:r>
          </w:p>
        </w:tc>
      </w:tr>
      <w:tr>
        <w:tc>
          <w:tcPr>
            <w:tcW w:type="dxa" w:w="3456"/>
          </w:tcPr>
          <w:p>
            <w:r>
              <w:t>Exact RBAC permission IDs</w:t>
            </w:r>
          </w:p>
        </w:tc>
        <w:tc>
          <w:tcPr>
            <w:tcW w:type="dxa" w:w="3456"/>
          </w:tcPr>
          <w:p>
            <w:r>
              <w:t>DOWNSTREAM</w:t>
            </w:r>
          </w:p>
        </w:tc>
        <w:tc>
          <w:tcPr>
            <w:tcW w:type="dxa" w:w="3456"/>
          </w:tcPr>
          <w:p>
            <w:r>
              <w:t>Use existing authority model; IDs later.</w:t>
            </w:r>
          </w:p>
        </w:tc>
      </w:tr>
      <w:tr>
        <w:tc>
          <w:tcPr>
            <w:tcW w:type="dxa" w:w="3456"/>
          </w:tcPr>
          <w:p>
            <w:r>
              <w:t>Physical ERD/schema/migration</w:t>
            </w:r>
          </w:p>
        </w:tc>
        <w:tc>
          <w:tcPr>
            <w:tcW w:type="dxa" w:w="3456"/>
          </w:tcPr>
          <w:p>
            <w:r>
              <w:t>DOWNSTREAM</w:t>
            </w:r>
          </w:p>
        </w:tc>
        <w:tc>
          <w:tcPr>
            <w:tcW w:type="dxa" w:w="3456"/>
          </w:tcPr>
          <w:p>
            <w:r>
              <w:t>Not authorized here.</w:t>
            </w:r>
          </w:p>
        </w:tc>
      </w:tr>
      <w:tr>
        <w:tc>
          <w:tcPr>
            <w:tcW w:type="dxa" w:w="3456"/>
          </w:tcPr>
          <w:p>
            <w:r>
              <w:t>Recording retention/privacy/transcript</w:t>
            </w:r>
          </w:p>
        </w:tc>
        <w:tc>
          <w:tcPr>
            <w:tcW w:type="dxa" w:w="3456"/>
          </w:tcPr>
          <w:p>
            <w:r>
              <w:t>OPEN</w:t>
            </w:r>
          </w:p>
        </w:tc>
        <w:tc>
          <w:tcPr>
            <w:tcW w:type="dxa" w:w="3456"/>
          </w:tcPr>
          <w:p>
            <w:r>
              <w:t>Requires product/provider evidence.</w:t>
            </w:r>
          </w:p>
        </w:tc>
      </w:tr>
      <w:tr>
        <w:tc>
          <w:tcPr>
            <w:tcW w:type="dxa" w:w="3456"/>
          </w:tcPr>
          <w:p>
            <w:r>
              <w:t>MADCR-049</w:t>
            </w:r>
          </w:p>
        </w:tc>
        <w:tc>
          <w:tcPr>
            <w:tcW w:type="dxa" w:w="3456"/>
          </w:tcPr>
          <w:p>
            <w:r>
              <w:t>EXTERNAL GOVERNANCE RESIDUAL</w:t>
            </w:r>
          </w:p>
        </w:tc>
        <w:tc>
          <w:tcPr>
            <w:tcW w:type="dxa" w:w="3456"/>
          </w:tcPr>
          <w:p>
            <w:r>
              <w:t>Reference conditionally; do not close.</w:t>
            </w:r>
          </w:p>
        </w:tc>
      </w:tr>
    </w:tbl>
    <w:p>
      <w:pPr>
        <w:pStyle w:val="Heading1"/>
      </w:pPr>
      <w:r>
        <w:t>6. Governance Guardrails</w:t>
      </w:r>
    </w:p>
    <w:p>
      <w:pPr>
        <w:pStyle w:val="ListBullet"/>
      </w:pPr>
      <w:r>
        <w:t>Do not reopen AEP #1–#3 governing decisions.</w:t>
      </w:r>
    </w:p>
    <w:p>
      <w:pPr>
        <w:pStyle w:val="ListBullet"/>
      </w:pPr>
      <w:r>
        <w:t>Do not silently close MADCR-049.</w:t>
      </w:r>
    </w:p>
    <w:p>
      <w:pPr>
        <w:pStyle w:val="ListBullet"/>
      </w:pPr>
      <w:r>
        <w:t>Do not convert provider-specific facts into architecture decisions without verification.</w:t>
      </w:r>
    </w:p>
    <w:p>
      <w:pPr>
        <w:pStyle w:val="ListBullet"/>
      </w:pPr>
      <w:r>
        <w:t>Do not promote all 80 proposed LS rules to governing status automatically.</w:t>
      </w:r>
    </w:p>
    <w:p>
      <w:pPr>
        <w:pStyle w:val="ListBullet"/>
      </w:pPr>
      <w:r>
        <w:t>Do not lock exact ERD/API/RBAC/schema/migration mechanics in this decision step.</w:t>
      </w:r>
    </w:p>
    <w:p>
      <w:pPr>
        <w:pStyle w:val="ListBullet"/>
      </w:pPr>
      <w:r>
        <w:t>Do not allow Learning Session to become authority for Learning Points, competency, Credential, or Title/Award.</w:t>
      </w:r>
    </w:p>
    <w:p>
      <w:pPr>
        <w:pStyle w:val="ListBullet"/>
      </w:pPr>
      <w:r>
        <w:t>Maintain the distinction between attendance evidence, learning completion, competency, Credential and Award Instance.</w:t>
      </w:r>
    </w:p>
    <w:p>
      <w:pPr>
        <w:pStyle w:val="Heading1"/>
      </w:pPr>
      <w:r>
        <w:t>7. Gate Result</w:t>
      </w:r>
    </w:p>
    <w:p>
      <w:r>
        <w:t>STATUS: PASS WITH USER DECISION REQUIRED. Evidence is sufficient to conduct the semantic decision stage. The first decision batch is AEP4-OD-01 through AEP4-OD-15. Exact values, provider facts and physical implementation contracts remain outside this step.</w:t>
      </w:r>
    </w:p>
    <w:p>
      <w:pPr>
        <w:pStyle w:val="Heading1"/>
      </w:pPr>
      <w:r>
        <w:t>8. Next Controlled Step</w:t>
      </w:r>
    </w:p>
    <w:p>
      <w:r>
        <w:t>After the user answers the open decisions, Step 03 will formalize the accepted decision set as LOCKED / OPEN / DEFERRED / CONDITIONAL and reconcile the proposed LS rule set against the resulting semantic architecture. Only then will downstream domain architecture impact proceed.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