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RUMAHAGEN — AEP #4 Learning Session</w:t>
        <w:br/>
        <w:t>Step 02 — Core Decision Register</w:t>
      </w:r>
    </w:p>
    <w:p>
      <w:pPr>
        <w:jc w:val="center"/>
      </w:pPr>
      <w:r>
        <w:rPr>
          <w:i/>
          <w:sz w:val="18"/>
        </w:rPr>
        <w:t>AEP4-OD-01 through AEP4-OD-15 | Version 1.0</w:t>
      </w:r>
    </w:p>
    <w:p>
      <w:pPr>
        <w:pStyle w:val="Heading1"/>
      </w:pPr>
      <w:r>
        <w:t>1. Step 02 Completion Status</w:t>
      </w:r>
    </w:p>
    <w:p>
      <w:r>
        <w:t>The initial AEP #4 Core Decision Set has now been processed through AEP4-OD-15. Fourteen decisions are approved and one decision (AEP4-OD-08 Automatic Provider Failover) remains OPEN/DEFERRED pending provider capability and technical/operational verification.</w:t>
      </w:r>
    </w:p>
    <w:p>
      <w:pPr>
        <w:pStyle w:val="Heading1"/>
      </w:pPr>
      <w:r>
        <w:t>2. Core Decision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Decision ID</w:t>
            </w:r>
          </w:p>
        </w:tc>
        <w:tc>
          <w:tcPr>
            <w:tcW w:type="dxa" w:w="2556"/>
          </w:tcPr>
          <w:p>
            <w:r>
              <w:t>Area</w:t>
            </w:r>
          </w:p>
        </w:tc>
        <w:tc>
          <w:tcPr>
            <w:tcW w:type="dxa" w:w="2556"/>
          </w:tcPr>
          <w:p>
            <w:r>
              <w:t>Status</w:t>
            </w:r>
          </w:p>
        </w:tc>
        <w:tc>
          <w:tcPr>
            <w:tcW w:type="dxa" w:w="2556"/>
          </w:tcPr>
          <w:p>
            <w:r>
              <w:t>Approved / recorded decision</w:t>
            </w:r>
          </w:p>
        </w:tc>
      </w:tr>
      <w:tr>
        <w:tc>
          <w:tcPr>
            <w:tcW w:type="dxa" w:w="2556"/>
          </w:tcPr>
          <w:p>
            <w:r>
              <w:t>AEP4-OD-01</w:t>
            </w:r>
          </w:p>
        </w:tc>
        <w:tc>
          <w:tcPr>
            <w:tcW w:type="dxa" w:w="2556"/>
          </w:tcPr>
          <w:p>
            <w:r>
              <w:t>Canonical Session Taxonomy</w:t>
            </w:r>
          </w:p>
        </w:tc>
        <w:tc>
          <w:tcPr>
            <w:tcW w:type="dxa" w:w="2556"/>
          </w:tcPr>
          <w:p>
            <w:r>
              <w:t>A — APPROVED</w:t>
            </w:r>
          </w:p>
        </w:tc>
        <w:tc>
          <w:tcPr>
            <w:tcW w:type="dxa" w:w="2556"/>
          </w:tcPr>
          <w:p>
            <w:r>
              <w:t>BROADCAST / INTERACTIVE / ON_DEMAND</w:t>
            </w:r>
          </w:p>
        </w:tc>
      </w:tr>
      <w:tr>
        <w:tc>
          <w:tcPr>
            <w:tcW w:type="dxa" w:w="2556"/>
          </w:tcPr>
          <w:p>
            <w:r>
              <w:t>AEP4-OD-02</w:t>
            </w:r>
          </w:p>
        </w:tc>
        <w:tc>
          <w:tcPr>
            <w:tcW w:type="dxa" w:w="2556"/>
          </w:tcPr>
          <w:p>
            <w:r>
              <w:t>Canonical Session Lifecycle</w:t>
            </w:r>
          </w:p>
        </w:tc>
        <w:tc>
          <w:tcPr>
            <w:tcW w:type="dxa" w:w="2556"/>
          </w:tcPr>
          <w:p>
            <w:r>
              <w:t>A — APPROVED</w:t>
            </w:r>
          </w:p>
        </w:tc>
        <w:tc>
          <w:tcPr>
            <w:tcW w:type="dxa" w:w="2556"/>
          </w:tcPr>
          <w:p>
            <w:r>
              <w:t>DRAFT → SCHEDULED → LIVE → ENDED; CANCELLED and FAILED are exception/terminal states</w:t>
            </w:r>
          </w:p>
        </w:tc>
      </w:tr>
      <w:tr>
        <w:tc>
          <w:tcPr>
            <w:tcW w:type="dxa" w:w="2556"/>
          </w:tcPr>
          <w:p>
            <w:r>
              <w:t>AEP4-OD-03</w:t>
            </w:r>
          </w:p>
        </w:tc>
        <w:tc>
          <w:tcPr>
            <w:tcW w:type="dxa" w:w="2556"/>
          </w:tcPr>
          <w:p>
            <w:r>
              <w:t>Attendance Authority</w:t>
            </w:r>
          </w:p>
        </w:tc>
        <w:tc>
          <w:tcPr>
            <w:tcW w:type="dxa" w:w="2556"/>
          </w:tcPr>
          <w:p>
            <w:r>
              <w:t>A — APPROVED</w:t>
            </w:r>
          </w:p>
        </w:tc>
        <w:tc>
          <w:tcPr>
            <w:tcW w:type="dxa" w:w="2556"/>
          </w:tcPr>
          <w:p>
            <w:r>
              <w:t>Provider participation is evidence; RUMAHAGEN evaluates and owns attendance business state</w:t>
            </w:r>
          </w:p>
        </w:tc>
      </w:tr>
      <w:tr>
        <w:tc>
          <w:tcPr>
            <w:tcW w:type="dxa" w:w="2556"/>
          </w:tcPr>
          <w:p>
            <w:r>
              <w:t>AEP4-OD-04</w:t>
            </w:r>
          </w:p>
        </w:tc>
        <w:tc>
          <w:tcPr>
            <w:tcW w:type="dxa" w:w="2556"/>
          </w:tcPr>
          <w:p>
            <w:r>
              <w:t>Completion Authority</w:t>
            </w:r>
          </w:p>
        </w:tc>
        <w:tc>
          <w:tcPr>
            <w:tcW w:type="dxa" w:w="2556"/>
          </w:tcPr>
          <w:p>
            <w:r>
              <w:t>A — APPROVED</w:t>
            </w:r>
          </w:p>
        </w:tc>
        <w:tc>
          <w:tcPr>
            <w:tcW w:type="dxa" w:w="2556"/>
          </w:tcPr>
          <w:p>
            <w:r>
              <w:t>Completion is produced by governed completion policy consuming normalized evidence; provider events cannot directly establish completion</w:t>
            </w:r>
          </w:p>
        </w:tc>
      </w:tr>
      <w:tr>
        <w:tc>
          <w:tcPr>
            <w:tcW w:type="dxa" w:w="2556"/>
          </w:tcPr>
          <w:p>
            <w:r>
              <w:t>AEP4-OD-05</w:t>
            </w:r>
          </w:p>
        </w:tc>
        <w:tc>
          <w:tcPr>
            <w:tcW w:type="dxa" w:w="2556"/>
          </w:tcPr>
          <w:p>
            <w:r>
              <w:t>Attendance Policy Configurability</w:t>
            </w:r>
          </w:p>
        </w:tc>
        <w:tc>
          <w:tcPr>
            <w:tcW w:type="dxa" w:w="2556"/>
          </w:tcPr>
          <w:p>
            <w:r>
              <w:t>A — APPROVED</w:t>
            </w:r>
          </w:p>
        </w:tc>
        <w:tc>
          <w:tcPr>
            <w:tcW w:type="dxa" w:w="2556"/>
          </w:tcPr>
          <w:p>
            <w:r>
              <w:t>Attendance policy parameters are configurable business parameters; exact values remain downstream</w:t>
            </w:r>
          </w:p>
        </w:tc>
      </w:tr>
      <w:tr>
        <w:tc>
          <w:tcPr>
            <w:tcW w:type="dxa" w:w="2556"/>
          </w:tcPr>
          <w:p>
            <w:r>
              <w:t>AEP4-OD-06</w:t>
            </w:r>
          </w:p>
        </w:tc>
        <w:tc>
          <w:tcPr>
            <w:tcW w:type="dxa" w:w="2556"/>
          </w:tcPr>
          <w:p>
            <w:r>
              <w:t>Learning Activity Linkage</w:t>
            </w:r>
          </w:p>
        </w:tc>
        <w:tc>
          <w:tcPr>
            <w:tcW w:type="dxa" w:w="2556"/>
          </w:tcPr>
          <w:p>
            <w:r>
              <w:t>A — APPROVED</w:t>
            </w:r>
          </w:p>
        </w:tc>
        <w:tc>
          <w:tcPr>
            <w:tcW w:type="dxa" w:w="2556"/>
          </w:tcPr>
          <w:p>
            <w:r>
              <w:t>Qualifying session completion feeds Learning Activity as evidence/outcome; Learning Economy remains authority for LP processing</w:t>
            </w:r>
          </w:p>
        </w:tc>
      </w:tr>
      <w:tr>
        <w:tc>
          <w:tcPr>
            <w:tcW w:type="dxa" w:w="2556"/>
          </w:tcPr>
          <w:p>
            <w:r>
              <w:t>AEP4-OD-07</w:t>
            </w:r>
          </w:p>
        </w:tc>
        <w:tc>
          <w:tcPr>
            <w:tcW w:type="dxa" w:w="2556"/>
          </w:tcPr>
          <w:p>
            <w:r>
              <w:t>Provider Switching</w:t>
            </w:r>
          </w:p>
        </w:tc>
        <w:tc>
          <w:tcPr>
            <w:tcW w:type="dxa" w:w="2556"/>
          </w:tcPr>
          <w:p>
            <w:r>
              <w:t>A — APPROVED</w:t>
            </w:r>
          </w:p>
        </w:tc>
        <w:tc>
          <w:tcPr>
            <w:tcW w:type="dxa" w:w="2556"/>
          </w:tcPr>
          <w:p>
            <w:r>
              <w:t>Provider changes preserve semantic session identity, valid enrollment/history/evidence and learning outcome</w:t>
            </w:r>
          </w:p>
        </w:tc>
      </w:tr>
      <w:tr>
        <w:tc>
          <w:tcPr>
            <w:tcW w:type="dxa" w:w="2556"/>
          </w:tcPr>
          <w:p>
            <w:r>
              <w:t>AEP4-OD-08</w:t>
            </w:r>
          </w:p>
        </w:tc>
        <w:tc>
          <w:tcPr>
            <w:tcW w:type="dxa" w:w="2556"/>
          </w:tcPr>
          <w:p>
            <w:r>
              <w:t>Automatic Provider Failover</w:t>
            </w:r>
          </w:p>
        </w:tc>
        <w:tc>
          <w:tcPr>
            <w:tcW w:type="dxa" w:w="2556"/>
          </w:tcPr>
          <w:p>
            <w:r>
              <w:t>C — OPEN / DEFERRED</w:t>
            </w:r>
          </w:p>
        </w:tc>
        <w:tc>
          <w:tcPr>
            <w:tcW w:type="dxa" w:w="2556"/>
          </w:tcPr>
          <w:p>
            <w:r>
              <w:t>Automatic cross-provider failover is not locked; requires provider capability and technical/operational verification</w:t>
            </w:r>
          </w:p>
        </w:tc>
      </w:tr>
      <w:tr>
        <w:tc>
          <w:tcPr>
            <w:tcW w:type="dxa" w:w="2556"/>
          </w:tcPr>
          <w:p>
            <w:r>
              <w:t>AEP4-OD-09</w:t>
            </w:r>
          </w:p>
        </w:tc>
        <w:tc>
          <w:tcPr>
            <w:tcW w:type="dxa" w:w="2556"/>
          </w:tcPr>
          <w:p>
            <w:r>
              <w:t>Recording</w:t>
            </w:r>
          </w:p>
        </w:tc>
        <w:tc>
          <w:tcPr>
            <w:tcW w:type="dxa" w:w="2556"/>
          </w:tcPr>
          <w:p>
            <w:r>
              <w:t>A — APPROVED</w:t>
            </w:r>
          </w:p>
        </w:tc>
        <w:tc>
          <w:tcPr>
            <w:tcW w:type="dxa" w:w="2556"/>
          </w:tcPr>
          <w:p>
            <w:r>
              <w:t>Recording is an optional Learning Session artifact/reference, separate from attendance/completion authority, and may support ON_DEMAND</w:t>
            </w:r>
          </w:p>
        </w:tc>
      </w:tr>
      <w:tr>
        <w:tc>
          <w:tcPr>
            <w:tcW w:type="dxa" w:w="2556"/>
          </w:tcPr>
          <w:p>
            <w:r>
              <w:t>AEP4-OD-10</w:t>
            </w:r>
          </w:p>
        </w:tc>
        <w:tc>
          <w:tcPr>
            <w:tcW w:type="dxa" w:w="2556"/>
          </w:tcPr>
          <w:p>
            <w:r>
              <w:t>Provider Set</w:t>
            </w:r>
          </w:p>
        </w:tc>
        <w:tc>
          <w:tcPr>
            <w:tcW w:type="dxa" w:w="2556"/>
          </w:tcPr>
          <w:p>
            <w:r>
              <w:t>B — APPROVED</w:t>
            </w:r>
          </w:p>
        </w:tc>
        <w:tc>
          <w:tcPr>
            <w:tcW w:type="dxa" w:w="2556"/>
          </w:tcPr>
          <w:p>
            <w:r>
              <w:t>Lock provider-agnostic architecture; exact supported providers remain subject to capability and integration verification</w:t>
            </w:r>
          </w:p>
        </w:tc>
      </w:tr>
      <w:tr>
        <w:tc>
          <w:tcPr>
            <w:tcW w:type="dxa" w:w="2556"/>
          </w:tcPr>
          <w:p>
            <w:r>
              <w:t>AEP4-OD-11</w:t>
            </w:r>
          </w:p>
        </w:tc>
        <w:tc>
          <w:tcPr>
            <w:tcW w:type="dxa" w:w="2556"/>
          </w:tcPr>
          <w:p>
            <w:r>
              <w:t>Provider Priority/Fallback</w:t>
            </w:r>
          </w:p>
        </w:tc>
        <w:tc>
          <w:tcPr>
            <w:tcW w:type="dxa" w:w="2556"/>
          </w:tcPr>
          <w:p>
            <w:r>
              <w:t>B — APPROVED</w:t>
            </w:r>
          </w:p>
        </w:tc>
        <w:tc>
          <w:tcPr>
            <w:tcW w:type="dxa" w:w="2556"/>
          </w:tcPr>
          <w:p>
            <w:r>
              <w:t>No universal provider priority or ranking is architecturally mandated</w:t>
            </w:r>
          </w:p>
        </w:tc>
      </w:tr>
      <w:tr>
        <w:tc>
          <w:tcPr>
            <w:tcW w:type="dxa" w:w="2556"/>
          </w:tcPr>
          <w:p>
            <w:r>
              <w:t>AEP4-OD-12</w:t>
            </w:r>
          </w:p>
        </w:tc>
        <w:tc>
          <w:tcPr>
            <w:tcW w:type="dxa" w:w="2556"/>
          </w:tcPr>
          <w:p>
            <w:r>
              <w:t>AI Role</w:t>
            </w:r>
          </w:p>
        </w:tc>
        <w:tc>
          <w:tcPr>
            <w:tcW w:type="dxa" w:w="2556"/>
          </w:tcPr>
          <w:p>
            <w:r>
              <w:t>A — APPROVED</w:t>
            </w:r>
          </w:p>
        </w:tc>
        <w:tc>
          <w:tcPr>
            <w:tcW w:type="dxa" w:w="2556"/>
          </w:tcPr>
          <w:p>
            <w:r>
              <w:t>AI is assistive only; it cannot become authority for attendance, completion, Learning Points, competency, credential or Title/Award</w:t>
            </w:r>
          </w:p>
        </w:tc>
      </w:tr>
      <w:tr>
        <w:tc>
          <w:tcPr>
            <w:tcW w:type="dxa" w:w="2556"/>
          </w:tcPr>
          <w:p>
            <w:r>
              <w:t>AEP4-OD-13</w:t>
            </w:r>
          </w:p>
        </w:tc>
        <w:tc>
          <w:tcPr>
            <w:tcW w:type="dxa" w:w="2556"/>
          </w:tcPr>
          <w:p>
            <w:r>
              <w:t>Commercial/Payment Boundary</w:t>
            </w:r>
          </w:p>
        </w:tc>
        <w:tc>
          <w:tcPr>
            <w:tcW w:type="dxa" w:w="2556"/>
          </w:tcPr>
          <w:p>
            <w:r>
              <w:t>A — APPROVED</w:t>
            </w:r>
          </w:p>
        </w:tc>
        <w:tc>
          <w:tcPr>
            <w:tcW w:type="dxa" w:w="2556"/>
          </w:tcPr>
          <w:p>
            <w:r>
              <w:t>Paid session access consumes Commercial/Payment outcomes; pricing, payment, entitlement and fulfillment remain outside Learning Session</w:t>
            </w:r>
          </w:p>
        </w:tc>
      </w:tr>
      <w:tr>
        <w:tc>
          <w:tcPr>
            <w:tcW w:type="dxa" w:w="2556"/>
          </w:tcPr>
          <w:p>
            <w:r>
              <w:t>AEP4-OD-14</w:t>
            </w:r>
          </w:p>
        </w:tc>
        <w:tc>
          <w:tcPr>
            <w:tcW w:type="dxa" w:w="2556"/>
          </w:tcPr>
          <w:p>
            <w:r>
              <w:t>Workspace Context</w:t>
            </w:r>
          </w:p>
        </w:tc>
        <w:tc>
          <w:tcPr>
            <w:tcW w:type="dxa" w:w="2556"/>
          </w:tcPr>
          <w:p>
            <w:r>
              <w:t>A — APPROVED</w:t>
            </w:r>
          </w:p>
        </w:tc>
        <w:tc>
          <w:tcPr>
            <w:tcW w:type="dxa" w:w="2556"/>
          </w:tcPr>
          <w:p>
            <w:r>
              <w:t>Workspace/organization context is part of semantic Learning Session context when applicable; authority/cardinality remain downstream</w:t>
            </w:r>
          </w:p>
        </w:tc>
      </w:tr>
      <w:tr>
        <w:tc>
          <w:tcPr>
            <w:tcW w:type="dxa" w:w="2556"/>
          </w:tcPr>
          <w:p>
            <w:r>
              <w:t>AEP4-OD-15</w:t>
            </w:r>
          </w:p>
        </w:tc>
        <w:tc>
          <w:tcPr>
            <w:tcW w:type="dxa" w:w="2556"/>
          </w:tcPr>
          <w:p>
            <w:r>
              <w:t>Visibility Model</w:t>
            </w:r>
          </w:p>
        </w:tc>
        <w:tc>
          <w:tcPr>
            <w:tcW w:type="dxa" w:w="2556"/>
          </w:tcPr>
          <w:p>
            <w:r>
              <w:t>A — APPROVED</w:t>
            </w:r>
          </w:p>
        </w:tc>
        <w:tc>
          <w:tcPr>
            <w:tcW w:type="dxa" w:w="2556"/>
          </w:tcPr>
          <w:p>
            <w:r>
              <w:t>Learning Session has semantic visibility/access scope; exact RBAC/authorization mechanics remain downstream</w:t>
            </w:r>
          </w:p>
        </w:tc>
      </w:tr>
    </w:tbl>
    <w:p>
      <w:pPr>
        <w:pStyle w:val="Heading1"/>
      </w:pPr>
      <w:r>
        <w:t>3. AEP4-OD-15 Boundary</w:t>
      </w:r>
    </w:p>
    <w:p>
      <w:pPr>
        <w:pStyle w:val="ListBullet"/>
      </w:pPr>
      <w:r>
        <w:t>Learning Session includes a semantic visibility/access-scope context.</w:t>
      </w:r>
    </w:p>
    <w:p>
      <w:pPr>
        <w:pStyle w:val="ListBullet"/>
      </w:pPr>
      <w:r>
        <w:t>Visibility answers the intended audience/access scope of a session; it is distinct from RBAC, which determines what an authorized actor may do.</w:t>
      </w:r>
    </w:p>
    <w:p>
      <w:pPr>
        <w:pStyle w:val="ListBullet"/>
      </w:pPr>
      <w:r>
        <w:t>Potential scopes such as public, workspace, partner or private may be considered in downstream design, but no final enum set is locked by this decision.</w:t>
      </w:r>
    </w:p>
    <w:p>
      <w:pPr>
        <w:pStyle w:val="ListBullet"/>
      </w:pPr>
      <w:r>
        <w:t>Exact authorization rules, RBAC, cross-workspace access and persistence remain downstream.</w:t>
      </w:r>
    </w:p>
    <w:p>
      <w:pPr>
        <w:pStyle w:val="ListBullet"/>
      </w:pPr>
      <w:r>
        <w:t>A visibility decision must not bypass Commercial/Payment entitlement requirements where access is paid.</w:t>
      </w:r>
    </w:p>
    <w:p>
      <w:pPr>
        <w:pStyle w:val="Heading1"/>
      </w:pPr>
      <w:r>
        <w:t>4. Step 02 Governance Summary</w:t>
      </w:r>
    </w:p>
    <w:p>
      <w:r>
        <w:t>The decision set establishes the semantic Learning Session boundary while deliberately deferring implementation-specific details. The next process step should consolidate these decisions into a formal AEP #4 decision register and trace each decision to the source evidence, affected domains, open dependencies and downstream design artifacts.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