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03 — Decision Consolidation &amp; Architecture Boundary</w:t>
      </w:r>
    </w:p>
    <w:p>
      <w:pPr>
        <w:jc w:val="center"/>
      </w:pPr>
      <w:r>
        <w:rPr>
          <w:i/>
        </w:rPr>
        <w:t>Version 1.0 | Controlled synchronization artifact | Implementation NOT AUTHORIZED</w:t>
      </w:r>
    </w:p>
    <w:p>
      <w:pPr>
        <w:pStyle w:val="Heading1"/>
      </w:pPr>
      <w:r>
        <w:t>1. Purpose &amp; Gate</w:t>
      </w:r>
    </w:p>
    <w:p>
      <w:r>
        <w:t>Step 03 consolidates AEP4-OD-01 through OD-15 into a canonical semantic decision set, maps each decision to its architecture boundary and cross-AEP dependency, identifies open/deferred items, and defines the controlled boundary for downstream design. It does not authorize ERD, schema, API, RBAC implementation, provider integration, migration, or production implementation.</w:t>
      </w:r>
    </w:p>
    <w:p>
      <w:r>
        <w:t>Source basis: AEP #4 Step 01 Governance &amp; Evidence Reconciliation, Step 02 Core Decision Register, Learning Session Architecture Evolution v2, and AEP #2/AEP #3 governing evidence. The Step 01 source explicitly states that the AEP execution order is AEP #1 → #2 → #3 → #4 and global synchronization is deferred until all four AEPs are complete. filecite markers are retained in the source record; this artifact summarizes rather than silently changing source status.</w:t>
      </w:r>
    </w:p>
    <w:p>
      <w:pPr>
        <w:pStyle w:val="Heading1"/>
      </w:pPr>
      <w:r>
        <w:t>2. Step 03 Gate Result</w:t>
      </w:r>
    </w:p>
    <w:p>
      <w:r>
        <w:t>STATUS: PASS — SEMANTIC CONSOLIDATION READY FOR DOWNSTREAM IMPACT DESIGN, WITH CONTROLLED RESIDUALS.</w:t>
      </w:r>
    </w:p>
    <w:p>
      <w:r>
        <w:t>14 of 15 decisions are approved. AEP4-OD-08 remains OPEN/DEFERRED. The residual does not block the provider-agnostic semantic architecture, but it must remain visible in downstream provider/recovery design.</w:t>
      </w:r>
    </w:p>
    <w:p>
      <w:pPr>
        <w:pStyle w:val="Heading1"/>
      </w:pPr>
      <w:r>
        <w:t>3. Canonical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Area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  <w:tc>
          <w:tcPr>
            <w:tcW w:type="dxa" w:w="2074"/>
          </w:tcPr>
          <w:p>
            <w:r>
              <w:t>Canonical Decision</w:t>
            </w:r>
          </w:p>
        </w:tc>
        <w:tc>
          <w:tcPr>
            <w:tcW w:type="dxa" w:w="2074"/>
          </w:tcPr>
          <w:p>
            <w:r>
              <w:t>Primary Boundary</w:t>
            </w:r>
          </w:p>
        </w:tc>
      </w:tr>
      <w:tr>
        <w:tc>
          <w:tcPr>
            <w:tcW w:type="dxa" w:w="2074"/>
            <w:vAlign w:val="top"/>
          </w:tcPr>
          <w:p>
            <w:r>
              <w:t>OD-01</w:t>
            </w:r>
          </w:p>
        </w:tc>
        <w:tc>
          <w:tcPr>
            <w:tcW w:type="dxa" w:w="2074"/>
            <w:vAlign w:val="top"/>
          </w:tcPr>
          <w:p>
            <w:r>
              <w:t>Session taxonomy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BROADCAST / INTERACTIVE / ON_DEMAND</w:t>
            </w:r>
          </w:p>
        </w:tc>
        <w:tc>
          <w:tcPr>
            <w:tcW w:type="dxa" w:w="2074"/>
            <w:vAlign w:val="top"/>
          </w:tcPr>
          <w:p>
            <w:r>
              <w:t>Learning Session</w:t>
            </w:r>
          </w:p>
        </w:tc>
      </w:tr>
      <w:tr>
        <w:tc>
          <w:tcPr>
            <w:tcW w:type="dxa" w:w="2074"/>
            <w:vAlign w:val="top"/>
          </w:tcPr>
          <w:p>
            <w:r>
              <w:t>OD-02</w:t>
            </w:r>
          </w:p>
        </w:tc>
        <w:tc>
          <w:tcPr>
            <w:tcW w:type="dxa" w:w="2074"/>
            <w:vAlign w:val="top"/>
          </w:tcPr>
          <w:p>
            <w:r>
              <w:t>Session lifecycle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DRAFT → SCHEDULED → LIVE → ENDED; CANCELLED/FAILED</w:t>
            </w:r>
          </w:p>
        </w:tc>
        <w:tc>
          <w:tcPr>
            <w:tcW w:type="dxa" w:w="2074"/>
            <w:vAlign w:val="top"/>
          </w:tcPr>
          <w:p>
            <w:r>
              <w:t>Learning Session</w:t>
            </w:r>
          </w:p>
        </w:tc>
      </w:tr>
      <w:tr>
        <w:tc>
          <w:tcPr>
            <w:tcW w:type="dxa" w:w="2074"/>
            <w:vAlign w:val="top"/>
          </w:tcPr>
          <w:p>
            <w:r>
              <w:t>OD-03</w:t>
            </w:r>
          </w:p>
        </w:tc>
        <w:tc>
          <w:tcPr>
            <w:tcW w:type="dxa" w:w="2074"/>
            <w:vAlign w:val="top"/>
          </w:tcPr>
          <w:p>
            <w:r>
              <w:t>Attendance authority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Provider participation is evidence; RUMAHAGEN evaluates attendance</w:t>
            </w:r>
          </w:p>
        </w:tc>
        <w:tc>
          <w:tcPr>
            <w:tcW w:type="dxa" w:w="2074"/>
            <w:vAlign w:val="top"/>
          </w:tcPr>
          <w:p>
            <w:r>
              <w:t>Session + Provider Adapter</w:t>
            </w:r>
          </w:p>
        </w:tc>
      </w:tr>
      <w:tr>
        <w:tc>
          <w:tcPr>
            <w:tcW w:type="dxa" w:w="2074"/>
            <w:vAlign w:val="top"/>
          </w:tcPr>
          <w:p>
            <w:r>
              <w:t>OD-04</w:t>
            </w:r>
          </w:p>
        </w:tc>
        <w:tc>
          <w:tcPr>
            <w:tcW w:type="dxa" w:w="2074"/>
            <w:vAlign w:val="top"/>
          </w:tcPr>
          <w:p>
            <w:r>
              <w:t>Completion authority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Governed completion policy consumes normalized evidence</w:t>
            </w:r>
          </w:p>
        </w:tc>
        <w:tc>
          <w:tcPr>
            <w:tcW w:type="dxa" w:w="2074"/>
            <w:vAlign w:val="top"/>
          </w:tcPr>
          <w:p>
            <w:r>
              <w:t>Session + Learning Activity</w:t>
            </w:r>
          </w:p>
        </w:tc>
      </w:tr>
      <w:tr>
        <w:tc>
          <w:tcPr>
            <w:tcW w:type="dxa" w:w="2074"/>
            <w:vAlign w:val="top"/>
          </w:tcPr>
          <w:p>
            <w:r>
              <w:t>OD-05</w:t>
            </w:r>
          </w:p>
        </w:tc>
        <w:tc>
          <w:tcPr>
            <w:tcW w:type="dxa" w:w="2074"/>
            <w:vAlign w:val="top"/>
          </w:tcPr>
          <w:p>
            <w:r>
              <w:t>Attendance configurability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Attendance policy parameters are configurable; values downstream</w:t>
            </w:r>
          </w:p>
        </w:tc>
        <w:tc>
          <w:tcPr>
            <w:tcW w:type="dxa" w:w="2074"/>
            <w:vAlign w:val="top"/>
          </w:tcPr>
          <w:p>
            <w:r>
              <w:t>Learning Configuration</w:t>
            </w:r>
          </w:p>
        </w:tc>
      </w:tr>
      <w:tr>
        <w:tc>
          <w:tcPr>
            <w:tcW w:type="dxa" w:w="2074"/>
            <w:vAlign w:val="top"/>
          </w:tcPr>
          <w:p>
            <w:r>
              <w:t>OD-06</w:t>
            </w:r>
          </w:p>
        </w:tc>
        <w:tc>
          <w:tcPr>
            <w:tcW w:type="dxa" w:w="2074"/>
            <w:vAlign w:val="top"/>
          </w:tcPr>
          <w:p>
            <w:r>
              <w:t>Learning Activity linkage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Qualifying session completion feeds Learning Activity; Learning Economy owns LP processing</w:t>
            </w:r>
          </w:p>
        </w:tc>
        <w:tc>
          <w:tcPr>
            <w:tcW w:type="dxa" w:w="2074"/>
            <w:vAlign w:val="top"/>
          </w:tcPr>
          <w:p>
            <w:r>
              <w:t>AEP #4 ↔ AEP #2</w:t>
            </w:r>
          </w:p>
        </w:tc>
      </w:tr>
      <w:tr>
        <w:tc>
          <w:tcPr>
            <w:tcW w:type="dxa" w:w="2074"/>
            <w:vAlign w:val="top"/>
          </w:tcPr>
          <w:p>
            <w:r>
              <w:t>OD-07</w:t>
            </w:r>
          </w:p>
        </w:tc>
        <w:tc>
          <w:tcPr>
            <w:tcW w:type="dxa" w:w="2074"/>
            <w:vAlign w:val="top"/>
          </w:tcPr>
          <w:p>
            <w:r>
              <w:t>Provider switching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Provider binding can change without changing semantic session identity/history</w:t>
            </w:r>
          </w:p>
        </w:tc>
        <w:tc>
          <w:tcPr>
            <w:tcW w:type="dxa" w:w="2074"/>
            <w:vAlign w:val="top"/>
          </w:tcPr>
          <w:p>
            <w:r>
              <w:t>Provider Adapter</w:t>
            </w:r>
          </w:p>
        </w:tc>
      </w:tr>
      <w:tr>
        <w:tc>
          <w:tcPr>
            <w:tcW w:type="dxa" w:w="2074"/>
            <w:vAlign w:val="top"/>
          </w:tcPr>
          <w:p>
            <w:r>
              <w:t>OD-08</w:t>
            </w:r>
          </w:p>
        </w:tc>
        <w:tc>
          <w:tcPr>
            <w:tcW w:type="dxa" w:w="2074"/>
            <w:vAlign w:val="top"/>
          </w:tcPr>
          <w:p>
            <w:r>
              <w:t>Automatic failover</w:t>
            </w:r>
          </w:p>
        </w:tc>
        <w:tc>
          <w:tcPr>
            <w:tcW w:type="dxa" w:w="2074"/>
            <w:vAlign w:val="top"/>
          </w:tcPr>
          <w:p>
            <w:r>
              <w:t>OPEN / DEFERRED</w:t>
            </w:r>
          </w:p>
        </w:tc>
        <w:tc>
          <w:tcPr>
            <w:tcW w:type="dxa" w:w="2074"/>
            <w:vAlign w:val="top"/>
          </w:tcPr>
          <w:p>
            <w:r>
              <w:t>Needs provider capability + technical/operational verification</w:t>
            </w:r>
          </w:p>
        </w:tc>
        <w:tc>
          <w:tcPr>
            <w:tcW w:type="dxa" w:w="2074"/>
            <w:vAlign w:val="top"/>
          </w:tcPr>
          <w:p>
            <w:r>
              <w:t>Provider Adapter</w:t>
            </w:r>
          </w:p>
        </w:tc>
      </w:tr>
      <w:tr>
        <w:tc>
          <w:tcPr>
            <w:tcW w:type="dxa" w:w="2074"/>
            <w:vAlign w:val="top"/>
          </w:tcPr>
          <w:p>
            <w:r>
              <w:t>OD-09</w:t>
            </w:r>
          </w:p>
        </w:tc>
        <w:tc>
          <w:tcPr>
            <w:tcW w:type="dxa" w:w="2074"/>
            <w:vAlign w:val="top"/>
          </w:tcPr>
          <w:p>
            <w:r>
              <w:t>Recording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Optional session artifact/reference; may support ON_DEMAND</w:t>
            </w:r>
          </w:p>
        </w:tc>
        <w:tc>
          <w:tcPr>
            <w:tcW w:type="dxa" w:w="2074"/>
            <w:vAlign w:val="top"/>
          </w:tcPr>
          <w:p>
            <w:r>
              <w:t>Session + Learning Artifact</w:t>
            </w:r>
          </w:p>
        </w:tc>
      </w:tr>
      <w:tr>
        <w:tc>
          <w:tcPr>
            <w:tcW w:type="dxa" w:w="2074"/>
            <w:vAlign w:val="top"/>
          </w:tcPr>
          <w:p>
            <w:r>
              <w:t>OD-10</w:t>
            </w:r>
          </w:p>
        </w:tc>
        <w:tc>
          <w:tcPr>
            <w:tcW w:type="dxa" w:w="2074"/>
            <w:vAlign w:val="top"/>
          </w:tcPr>
          <w:p>
            <w:r>
              <w:t>Provider set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Provider-agnostic architecture; candidates subject to verification</w:t>
            </w:r>
          </w:p>
        </w:tc>
        <w:tc>
          <w:tcPr>
            <w:tcW w:type="dxa" w:w="2074"/>
            <w:vAlign w:val="top"/>
          </w:tcPr>
          <w:p>
            <w:r>
              <w:t>Provider Adapter</w:t>
            </w:r>
          </w:p>
        </w:tc>
      </w:tr>
      <w:tr>
        <w:tc>
          <w:tcPr>
            <w:tcW w:type="dxa" w:w="2074"/>
            <w:vAlign w:val="top"/>
          </w:tcPr>
          <w:p>
            <w:r>
              <w:t>OD-11</w:t>
            </w:r>
          </w:p>
        </w:tc>
        <w:tc>
          <w:tcPr>
            <w:tcW w:type="dxa" w:w="2074"/>
            <w:vAlign w:val="top"/>
          </w:tcPr>
          <w:p>
            <w:r>
              <w:t>Provider priority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No universal provider ranking</w:t>
            </w:r>
          </w:p>
        </w:tc>
        <w:tc>
          <w:tcPr>
            <w:tcW w:type="dxa" w:w="2074"/>
            <w:vAlign w:val="top"/>
          </w:tcPr>
          <w:p>
            <w:r>
              <w:t>Provider Selection</w:t>
            </w:r>
          </w:p>
        </w:tc>
      </w:tr>
      <w:tr>
        <w:tc>
          <w:tcPr>
            <w:tcW w:type="dxa" w:w="2074"/>
            <w:vAlign w:val="top"/>
          </w:tcPr>
          <w:p>
            <w:r>
              <w:t>OD-12</w:t>
            </w:r>
          </w:p>
        </w:tc>
        <w:tc>
          <w:tcPr>
            <w:tcW w:type="dxa" w:w="2074"/>
            <w:vAlign w:val="top"/>
          </w:tcPr>
          <w:p>
            <w:r>
              <w:t>AI role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Assistive only; never outcome authority</w:t>
            </w:r>
          </w:p>
        </w:tc>
        <w:tc>
          <w:tcPr>
            <w:tcW w:type="dxa" w:w="2074"/>
            <w:vAlign w:val="top"/>
          </w:tcPr>
          <w:p>
            <w:r>
              <w:t>AI + Learning Authority</w:t>
            </w:r>
          </w:p>
        </w:tc>
      </w:tr>
      <w:tr>
        <w:tc>
          <w:tcPr>
            <w:tcW w:type="dxa" w:w="2074"/>
            <w:vAlign w:val="top"/>
          </w:tcPr>
          <w:p>
            <w:r>
              <w:t>OD-13</w:t>
            </w:r>
          </w:p>
        </w:tc>
        <w:tc>
          <w:tcPr>
            <w:tcW w:type="dxa" w:w="2074"/>
            <w:vAlign w:val="top"/>
          </w:tcPr>
          <w:p>
            <w:r>
              <w:t>Commercial/payment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Paid access consumes Commercial/Payment outcomes; no second payment authority</w:t>
            </w:r>
          </w:p>
        </w:tc>
        <w:tc>
          <w:tcPr>
            <w:tcW w:type="dxa" w:w="2074"/>
            <w:vAlign w:val="top"/>
          </w:tcPr>
          <w:p>
            <w:r>
              <w:t>AEP #4 ↔ AEP #1</w:t>
            </w:r>
          </w:p>
        </w:tc>
      </w:tr>
      <w:tr>
        <w:tc>
          <w:tcPr>
            <w:tcW w:type="dxa" w:w="2074"/>
            <w:vAlign w:val="top"/>
          </w:tcPr>
          <w:p>
            <w:r>
              <w:t>OD-14</w:t>
            </w:r>
          </w:p>
        </w:tc>
        <w:tc>
          <w:tcPr>
            <w:tcW w:type="dxa" w:w="2074"/>
            <w:vAlign w:val="top"/>
          </w:tcPr>
          <w:p>
            <w:r>
              <w:t>Workspace context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Workspace/org context when applicable; cardinality downstream</w:t>
            </w:r>
          </w:p>
        </w:tc>
        <w:tc>
          <w:tcPr>
            <w:tcW w:type="dxa" w:w="2074"/>
            <w:vAlign w:val="top"/>
          </w:tcPr>
          <w:p>
            <w:r>
              <w:t>Workspace + Learning</w:t>
            </w:r>
          </w:p>
        </w:tc>
      </w:tr>
      <w:tr>
        <w:tc>
          <w:tcPr>
            <w:tcW w:type="dxa" w:w="2074"/>
            <w:vAlign w:val="top"/>
          </w:tcPr>
          <w:p>
            <w:r>
              <w:t>OD-15</w:t>
            </w:r>
          </w:p>
        </w:tc>
        <w:tc>
          <w:tcPr>
            <w:tcW w:type="dxa" w:w="2074"/>
            <w:vAlign w:val="top"/>
          </w:tcPr>
          <w:p>
            <w:r>
              <w:t>Visibility</w:t>
            </w:r>
          </w:p>
        </w:tc>
        <w:tc>
          <w:tcPr>
            <w:tcW w:type="dxa" w:w="2074"/>
            <w:vAlign w:val="top"/>
          </w:tcPr>
          <w:p>
            <w:r>
              <w:t>APPROVED</w:t>
            </w:r>
          </w:p>
        </w:tc>
        <w:tc>
          <w:tcPr>
            <w:tcW w:type="dxa" w:w="2074"/>
            <w:vAlign w:val="top"/>
          </w:tcPr>
          <w:p>
            <w:r>
              <w:t>Semantic access scope; RBAC/authorization downstream</w:t>
            </w:r>
          </w:p>
        </w:tc>
        <w:tc>
          <w:tcPr>
            <w:tcW w:type="dxa" w:w="2074"/>
            <w:vAlign w:val="top"/>
          </w:tcPr>
          <w:p>
            <w:r>
              <w:t>Learning + Authorization</w:t>
            </w:r>
          </w:p>
        </w:tc>
      </w:tr>
    </w:tbl>
    <w:p>
      <w:pPr>
        <w:pStyle w:val="Heading1"/>
      </w:pPr>
      <w:r>
        <w:t>4. Architecture Boundary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Boundary</w:t>
            </w:r>
          </w:p>
        </w:tc>
        <w:tc>
          <w:tcPr>
            <w:tcW w:type="dxa" w:w="5184"/>
          </w:tcPr>
          <w:p>
            <w:r>
              <w:t>Canonical Treatment</w:t>
            </w:r>
          </w:p>
        </w:tc>
      </w:tr>
      <w:tr>
        <w:tc>
          <w:tcPr>
            <w:tcW w:type="dxa" w:w="5184"/>
          </w:tcPr>
          <w:p>
            <w:r>
              <w:t>Learning Domain</w:t>
            </w:r>
          </w:p>
        </w:tc>
        <w:tc>
          <w:tcPr>
            <w:tcW w:type="dxa" w:w="5184"/>
          </w:tcPr>
          <w:p>
            <w:r>
              <w:t>Learning Session remains a capability inside Learning, not a new top-level domain.</w:t>
            </w:r>
          </w:p>
        </w:tc>
      </w:tr>
      <w:tr>
        <w:tc>
          <w:tcPr>
            <w:tcW w:type="dxa" w:w="5184"/>
          </w:tcPr>
          <w:p>
            <w:r>
              <w:t>System of Record</w:t>
            </w:r>
          </w:p>
        </w:tc>
        <w:tc>
          <w:tcPr>
            <w:tcW w:type="dxa" w:w="5184"/>
          </w:tcPr>
          <w:p>
            <w:r>
              <w:t>RUMAHAGEN owns Learning Session business state and provenance.</w:t>
            </w:r>
          </w:p>
        </w:tc>
      </w:tr>
      <w:tr>
        <w:tc>
          <w:tcPr>
            <w:tcW w:type="dxa" w:w="5184"/>
          </w:tcPr>
          <w:p>
            <w:r>
              <w:t>Provider</w:t>
            </w:r>
          </w:p>
        </w:tc>
        <w:tc>
          <w:tcPr>
            <w:tcW w:type="dxa" w:w="5184"/>
          </w:tcPr>
          <w:p>
            <w:r>
              <w:t>External live/video providers are infrastructure; provider events are evidence, not Learning authority.</w:t>
            </w:r>
          </w:p>
        </w:tc>
      </w:tr>
      <w:tr>
        <w:tc>
          <w:tcPr>
            <w:tcW w:type="dxa" w:w="5184"/>
          </w:tcPr>
          <w:p>
            <w:r>
              <w:t>Learning Economy</w:t>
            </w:r>
          </w:p>
        </w:tc>
        <w:tc>
          <w:tcPr>
            <w:tcW w:type="dxa" w:w="5184"/>
          </w:tcPr>
          <w:p>
            <w:r>
              <w:t>Learning Economy owns Learning Point reward/transaction semantics; session must not directly manufacture official LP transactions.</w:t>
            </w:r>
          </w:p>
        </w:tc>
      </w:tr>
      <w:tr>
        <w:tc>
          <w:tcPr>
            <w:tcW w:type="dxa" w:w="5184"/>
          </w:tcPr>
          <w:p>
            <w:r>
              <w:t>Competency</w:t>
            </w:r>
          </w:p>
        </w:tc>
        <w:tc>
          <w:tcPr>
            <w:tcW w:type="dxa" w:w="5184"/>
          </w:tcPr>
          <w:p>
            <w:r>
              <w:t>Attendance/completion do not automatically become competency, skill or credential.</w:t>
            </w:r>
          </w:p>
        </w:tc>
      </w:tr>
      <w:tr>
        <w:tc>
          <w:tcPr>
            <w:tcW w:type="dxa" w:w="5184"/>
          </w:tcPr>
          <w:p>
            <w:r>
              <w:t>Awarding</w:t>
            </w:r>
          </w:p>
        </w:tc>
        <w:tc>
          <w:tcPr>
            <w:tcW w:type="dxa" w:w="5184"/>
          </w:tcPr>
          <w:p>
            <w:r>
              <w:t>Learning Session does not issue Title/Award Instance; Awarding remains separate.</w:t>
            </w:r>
          </w:p>
        </w:tc>
      </w:tr>
      <w:tr>
        <w:tc>
          <w:tcPr>
            <w:tcW w:type="dxa" w:w="5184"/>
          </w:tcPr>
          <w:p>
            <w:r>
              <w:t>Credential</w:t>
            </w:r>
          </w:p>
        </w:tc>
        <w:tc>
          <w:tcPr>
            <w:tcW w:type="dxa" w:w="5184"/>
          </w:tcPr>
          <w:p>
            <w:r>
              <w:t>Certificate/Credential remains distinct from Title/Award Instance.</w:t>
            </w:r>
          </w:p>
        </w:tc>
      </w:tr>
      <w:tr>
        <w:tc>
          <w:tcPr>
            <w:tcW w:type="dxa" w:w="5184"/>
          </w:tcPr>
          <w:p>
            <w:r>
              <w:t>Commercial/Payment</w:t>
            </w:r>
          </w:p>
        </w:tc>
        <w:tc>
          <w:tcPr>
            <w:tcW w:type="dxa" w:w="5184"/>
          </w:tcPr>
          <w:p>
            <w:r>
              <w:t>Payment remains Commercial-owned; Learning consumes trusted commercial outcomes.</w:t>
            </w:r>
          </w:p>
        </w:tc>
      </w:tr>
      <w:tr>
        <w:tc>
          <w:tcPr>
            <w:tcW w:type="dxa" w:w="5184"/>
          </w:tcPr>
          <w:p>
            <w:r>
              <w:t>Evidence integrity</w:t>
            </w:r>
          </w:p>
        </w:tc>
        <w:tc>
          <w:tcPr>
            <w:tcW w:type="dxa" w:w="5184"/>
          </w:tcPr>
          <w:p>
            <w:r>
              <w:t>Provider events pass integration boundary, validation, normalization and idempotent handling.</w:t>
            </w:r>
          </w:p>
        </w:tc>
      </w:tr>
      <w:tr>
        <w:tc>
          <w:tcPr>
            <w:tcW w:type="dxa" w:w="5184"/>
          </w:tcPr>
          <w:p>
            <w:r>
              <w:t>Historical integrity</w:t>
            </w:r>
          </w:p>
        </w:tc>
        <w:tc>
          <w:tcPr>
            <w:tcW w:type="dxa" w:w="5184"/>
          </w:tcPr>
          <w:p>
            <w:r>
              <w:t>Historical outcomes must remain auditable/reconstructable; provider failure must not erase learning history.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AI may assist but cannot become Learning authority.</w:t>
            </w:r>
          </w:p>
        </w:tc>
      </w:tr>
      <w:tr>
        <w:tc>
          <w:tcPr>
            <w:tcW w:type="dxa" w:w="5184"/>
          </w:tcPr>
          <w:p>
            <w:r>
              <w:t>Global synchronization</w:t>
            </w:r>
          </w:p>
        </w:tc>
        <w:tc>
          <w:tcPr>
            <w:tcW w:type="dxa" w:w="5184"/>
          </w:tcPr>
          <w:p>
            <w:r>
              <w:t>Project-wide technical/governance synchronization remains deferred until AEP #1–#4 are finalized.</w:t>
            </w:r>
          </w:p>
        </w:tc>
      </w:tr>
    </w:tbl>
    <w:p>
      <w:pPr>
        <w:pStyle w:val="Heading1"/>
      </w:pPr>
      <w:r>
        <w:t>5. Cross-AEP Dependency /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Source / Domain</w:t>
            </w:r>
          </w:p>
        </w:tc>
        <w:tc>
          <w:tcPr>
            <w:tcW w:type="dxa" w:w="2592"/>
          </w:tcPr>
          <w:p>
            <w:r>
              <w:t>Dependency</w:t>
            </w:r>
          </w:p>
        </w:tc>
        <w:tc>
          <w:tcPr>
            <w:tcW w:type="dxa" w:w="2592"/>
          </w:tcPr>
          <w:p>
            <w:r>
              <w:t>Decision(s)</w:t>
            </w:r>
          </w:p>
        </w:tc>
        <w:tc>
          <w:tcPr>
            <w:tcW w:type="dxa" w:w="2592"/>
          </w:tcPr>
          <w:p>
            <w:r>
              <w:t>Treatment</w:t>
            </w:r>
          </w:p>
        </w:tc>
      </w:tr>
      <w:tr>
        <w:tc>
          <w:tcPr>
            <w:tcW w:type="dxa" w:w="2592"/>
          </w:tcPr>
          <w:p>
            <w:r>
              <w:t>AEP #1</w:t>
            </w:r>
          </w:p>
        </w:tc>
        <w:tc>
          <w:tcPr>
            <w:tcW w:type="dxa" w:w="2592"/>
          </w:tcPr>
          <w:p>
            <w:r>
              <w:t>Commercial/Payment</w:t>
            </w:r>
          </w:p>
        </w:tc>
        <w:tc>
          <w:tcPr>
            <w:tcW w:type="dxa" w:w="2592"/>
          </w:tcPr>
          <w:p>
            <w:r>
              <w:t>OD-13</w:t>
            </w:r>
          </w:p>
        </w:tc>
        <w:tc>
          <w:tcPr>
            <w:tcW w:type="dxa" w:w="2592"/>
          </w:tcPr>
          <w:p>
            <w:r>
              <w:t>Approved boundary; exact entitlement/access contract downstream.</w:t>
            </w:r>
          </w:p>
        </w:tc>
      </w:tr>
      <w:tr>
        <w:tc>
          <w:tcPr>
            <w:tcW w:type="dxa" w:w="2592"/>
          </w:tcPr>
          <w:p>
            <w:r>
              <w:t>AEP #2</w:t>
            </w:r>
          </w:p>
        </w:tc>
        <w:tc>
          <w:tcPr>
            <w:tcW w:type="dxa" w:w="2592"/>
          </w:tcPr>
          <w:p>
            <w:r>
              <w:t>Learning Economy</w:t>
            </w:r>
          </w:p>
        </w:tc>
        <w:tc>
          <w:tcPr>
            <w:tcW w:type="dxa" w:w="2592"/>
          </w:tcPr>
          <w:p>
            <w:r>
              <w:t>OD-06</w:t>
            </w:r>
          </w:p>
        </w:tc>
        <w:tc>
          <w:tcPr>
            <w:tcW w:type="dxa" w:w="2592"/>
          </w:tcPr>
          <w:p>
            <w:r>
              <w:t>Session completion feeds Learning Activity; LP authority remains AEP #2.</w:t>
            </w:r>
          </w:p>
        </w:tc>
      </w:tr>
      <w:tr>
        <w:tc>
          <w:tcPr>
            <w:tcW w:type="dxa" w:w="2592"/>
          </w:tcPr>
          <w:p>
            <w:r>
              <w:t>AEP #2</w:t>
            </w:r>
          </w:p>
        </w:tc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OD-06</w:t>
            </w:r>
          </w:p>
        </w:tc>
        <w:tc>
          <w:tcPr>
            <w:tcW w:type="dxa" w:w="2592"/>
          </w:tcPr>
          <w:p>
            <w:r>
              <w:t>OPEN / RE-EVALUATION; AEP #4 must not claim closure.</w:t>
            </w:r>
          </w:p>
        </w:tc>
      </w:tr>
      <w:tr>
        <w:tc>
          <w:tcPr>
            <w:tcW w:type="dxa" w:w="2592"/>
          </w:tcPr>
          <w:p>
            <w:r>
              <w:t>AEP #3</w:t>
            </w:r>
          </w:p>
        </w:tc>
        <w:tc>
          <w:tcPr>
            <w:tcW w:type="dxa" w:w="2592"/>
          </w:tcPr>
          <w:p>
            <w:r>
              <w:t>Title/Awarding</w:t>
            </w:r>
          </w:p>
        </w:tc>
        <w:tc>
          <w:tcPr>
            <w:tcW w:type="dxa" w:w="2592"/>
          </w:tcPr>
          <w:p>
            <w:r>
              <w:t>OD-04/06/12</w:t>
            </w:r>
          </w:p>
        </w:tc>
        <w:tc>
          <w:tcPr>
            <w:tcW w:type="dxa" w:w="2592"/>
          </w:tcPr>
          <w:p>
            <w:r>
              <w:t>Completion/evidence must not bypass assessment or Awarding authority.</w:t>
            </w:r>
          </w:p>
        </w:tc>
      </w:tr>
      <w:tr>
        <w:tc>
          <w:tcPr>
            <w:tcW w:type="dxa" w:w="2592"/>
          </w:tcPr>
          <w:p>
            <w:r>
              <w:t>Authorization</w:t>
            </w:r>
          </w:p>
        </w:tc>
        <w:tc>
          <w:tcPr>
            <w:tcW w:type="dxa" w:w="2592"/>
          </w:tcPr>
          <w:p>
            <w:r>
              <w:t>Workspace/RBAC</w:t>
            </w:r>
          </w:p>
        </w:tc>
        <w:tc>
          <w:tcPr>
            <w:tcW w:type="dxa" w:w="2592"/>
          </w:tcPr>
          <w:p>
            <w:r>
              <w:t>OD-14/15</w:t>
            </w:r>
          </w:p>
        </w:tc>
        <w:tc>
          <w:tcPr>
            <w:tcW w:type="dxa" w:w="2592"/>
          </w:tcPr>
          <w:p>
            <w:r>
              <w:t>Semantic context/scope approved; exact permissions/cardinality downstream.</w:t>
            </w:r>
          </w:p>
        </w:tc>
      </w:tr>
      <w:tr>
        <w:tc>
          <w:tcPr>
            <w:tcW w:type="dxa" w:w="2592"/>
          </w:tcPr>
          <w:p>
            <w:r>
              <w:t>Providers</w:t>
            </w:r>
          </w:p>
        </w:tc>
        <w:tc>
          <w:tcPr>
            <w:tcW w:type="dxa" w:w="2592"/>
          </w:tcPr>
          <w:p>
            <w:r>
              <w:t>Daily/LiveKit/Zoom/Google Meet/YouTube Live</w:t>
            </w:r>
          </w:p>
        </w:tc>
        <w:tc>
          <w:tcPr>
            <w:tcW w:type="dxa" w:w="2592"/>
          </w:tcPr>
          <w:p>
            <w:r>
              <w:t>OD-08/10/11</w:t>
            </w:r>
          </w:p>
        </w:tc>
        <w:tc>
          <w:tcPr>
            <w:tcW w:type="dxa" w:w="2592"/>
          </w:tcPr>
          <w:p>
            <w:r>
              <w:t>Candidate providers; capability verification required; no universal priority.</w:t>
            </w:r>
          </w:p>
        </w:tc>
      </w:tr>
    </w:tbl>
    <w:p>
      <w:pPr>
        <w:pStyle w:val="Heading1"/>
      </w:pPr>
      <w:r>
        <w:t>6. Open / Deferred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Open Decision / Gap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Required Next Evidence / Stage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cross-provider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Provider capability, technical feasibility, operational recovery, commercial/provider constraints.</w:t>
            </w:r>
          </w:p>
        </w:tc>
      </w:tr>
      <w:tr>
        <w:tc>
          <w:tcPr>
            <w:tcW w:type="dxa" w:w="2592"/>
          </w:tcPr>
          <w:p>
            <w:r>
              <w:t>Attendance rules</w:t>
            </w:r>
          </w:p>
        </w:tc>
        <w:tc>
          <w:tcPr>
            <w:tcW w:type="dxa" w:w="2592"/>
          </w:tcPr>
          <w:p>
            <w:r>
              <w:t>Exact attendance formula and minimum percentage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 stage.</w:t>
            </w:r>
          </w:p>
        </w:tc>
      </w:tr>
      <w:tr>
        <w:tc>
          <w:tcPr>
            <w:tcW w:type="dxa" w:w="2592"/>
          </w:tcPr>
          <w:p>
            <w:r>
              <w:t>Attendance exceptions</w:t>
            </w:r>
          </w:p>
        </w:tc>
        <w:tc>
          <w:tcPr>
            <w:tcW w:type="dxa" w:w="2592"/>
          </w:tcPr>
          <w:p>
            <w:r>
              <w:t>Late join, early leave, grace period, instructor override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 stage.</w:t>
            </w:r>
          </w:p>
        </w:tc>
      </w:tr>
      <w:tr>
        <w:tc>
          <w:tcPr>
            <w:tcW w:type="dxa" w:w="2592"/>
          </w:tcPr>
          <w:p>
            <w:r>
              <w:t>Capacity</w:t>
            </w:r>
          </w:p>
        </w:tc>
        <w:tc>
          <w:tcPr>
            <w:tcW w:type="dxa" w:w="2592"/>
          </w:tcPr>
          <w:p>
            <w:r>
              <w:t>Maximum participant capacity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Source Step 01 explicitly says not to invent.</w:t>
            </w:r>
          </w:p>
        </w:tc>
      </w:tr>
      <w:tr>
        <w:tc>
          <w:tcPr>
            <w:tcW w:type="dxa" w:w="2592"/>
          </w:tcPr>
          <w:p>
            <w:r>
              <w:t>Provider specifics</w:t>
            </w:r>
          </w:p>
        </w:tc>
        <w:tc>
          <w:tcPr>
            <w:tcW w:type="dxa" w:w="2592"/>
          </w:tcPr>
          <w:p>
            <w:r>
              <w:t>API/OAuth scopes, plans, quotas, rate limits, pricing/policies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 stage.</w:t>
            </w:r>
          </w:p>
        </w:tc>
      </w:tr>
      <w:tr>
        <w:tc>
          <w:tcPr>
            <w:tcW w:type="dxa" w:w="2592"/>
          </w:tcPr>
          <w:p>
            <w:r>
              <w:t>Recording</w:t>
            </w:r>
          </w:p>
        </w:tc>
        <w:tc>
          <w:tcPr>
            <w:tcW w:type="dxa" w:w="2592"/>
          </w:tcPr>
          <w:p>
            <w:r>
              <w:t>Retention, privacy, transcript, replay policy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Media/operational design stage.</w:t>
            </w:r>
          </w:p>
        </w:tc>
      </w:tr>
      <w:tr>
        <w:tc>
          <w:tcPr>
            <w:tcW w:type="dxa" w:w="2592"/>
          </w:tcPr>
          <w:p>
            <w:r>
              <w:t>Authorization</w:t>
            </w:r>
          </w:p>
        </w:tc>
        <w:tc>
          <w:tcPr>
            <w:tcW w:type="dxa" w:w="2592"/>
          </w:tcPr>
          <w:p>
            <w:r>
              <w:t>Exact RBAC permission IDs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Downstream authorization reconciliation.</w:t>
            </w:r>
          </w:p>
        </w:tc>
      </w:tr>
      <w:tr>
        <w:tc>
          <w:tcPr>
            <w:tcW w:type="dxa" w:w="2592"/>
          </w:tcPr>
          <w:p>
            <w:r>
              <w:t>Integration</w:t>
            </w:r>
          </w:p>
        </w:tc>
        <w:tc>
          <w:tcPr>
            <w:tcW w:type="dxa" w:w="2592"/>
          </w:tcPr>
          <w:p>
            <w:r>
              <w:t>Exact API contracts and event schemas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Downstream API/provider adapter stage.</w:t>
            </w:r>
          </w:p>
        </w:tc>
      </w:tr>
      <w:tr>
        <w:tc>
          <w:tcPr>
            <w:tcW w:type="dxa" w:w="2592"/>
          </w:tcPr>
          <w:p>
            <w:r>
              <w:t>Learning Activity</w:t>
            </w:r>
          </w:p>
        </w:tc>
        <w:tc>
          <w:tcPr>
            <w:tcW w:type="dxa" w:w="2592"/>
          </w:tcPr>
          <w:p>
            <w:r>
              <w:t>Final evidence model under MADCR-049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Independent governance residual.</w:t>
            </w:r>
          </w:p>
        </w:tc>
      </w:tr>
    </w:tbl>
    <w:p>
      <w:pPr>
        <w:pStyle w:val="Heading1"/>
      </w:pPr>
      <w:r>
        <w:t>7. Downstream Design Guardrails</w:t>
      </w:r>
    </w:p>
    <w:p>
      <w:pPr>
        <w:pStyle w:val="ListBullet"/>
      </w:pPr>
      <w:r>
        <w:t>Do not create a second Learning Session domain or provider-owned business authority.</w:t>
      </w:r>
    </w:p>
    <w:p>
      <w:pPr>
        <w:pStyle w:val="ListBullet"/>
      </w:pPr>
      <w:r>
        <w:t>Do not allow provider events to directly establish authoritative attendance/completion.</w:t>
      </w:r>
    </w:p>
    <w:p>
      <w:pPr>
        <w:pStyle w:val="ListBullet"/>
      </w:pPr>
      <w:r>
        <w:t>Do not allow Learning Session to directly create official Learning Point transactions.</w:t>
      </w:r>
    </w:p>
    <w:p>
      <w:pPr>
        <w:pStyle w:val="ListBullet"/>
      </w:pPr>
      <w:r>
        <w:t>Do not make provider identity the semantic identity of a Learning Session.</w:t>
      </w:r>
    </w:p>
    <w:p>
      <w:pPr>
        <w:pStyle w:val="ListBullet"/>
      </w:pPr>
      <w:r>
        <w:t>Do not treat recording as attendance/completion authority.</w:t>
      </w:r>
    </w:p>
    <w:p>
      <w:pPr>
        <w:pStyle w:val="ListBullet"/>
      </w:pPr>
      <w:r>
        <w:t>Do not make AI authoritative for Learning outcomes.</w:t>
      </w:r>
    </w:p>
    <w:p>
      <w:pPr>
        <w:pStyle w:val="ListBullet"/>
      </w:pPr>
      <w:r>
        <w:t>Do not embed pricing/payment-gateway logic inside Learning Session.</w:t>
      </w:r>
    </w:p>
    <w:p>
      <w:pPr>
        <w:pStyle w:val="ListBullet"/>
      </w:pPr>
      <w:r>
        <w:t>Do not silently close MADCR-049 through AEP #4 design.</w:t>
      </w:r>
    </w:p>
    <w:p>
      <w:pPr>
        <w:pStyle w:val="ListBullet"/>
      </w:pPr>
      <w:r>
        <w:t>Do not lock exact RBAC IDs, API endpoints, event schemas, physical tables/columns/FKs, provider capabilities, or attendance numeric values without evidence/decision.</w:t>
      </w:r>
    </w:p>
    <w:p>
      <w:pPr>
        <w:pStyle w:val="ListBullet"/>
      </w:pPr>
      <w:r>
        <w:t>Do not full-synchronize global project technical documents before AEP #1–#4 completion.</w:t>
      </w:r>
    </w:p>
    <w:p>
      <w:pPr>
        <w:pStyle w:val="Heading1"/>
      </w:pPr>
      <w:r>
        <w:t>8. Downstream Artifact Order</w:t>
      </w:r>
    </w:p>
    <w:p>
      <w:pPr>
        <w:pStyle w:val="ListNumber"/>
      </w:pPr>
      <w:r>
        <w:t>03-A — Learning Session Domain Architecture Impact</w:t>
      </w:r>
    </w:p>
    <w:p>
      <w:pPr>
        <w:pStyle w:val="ListNumber"/>
      </w:pPr>
      <w:r>
        <w:t>03-B — ERD / Entity-Relationship Impact</w:t>
      </w:r>
    </w:p>
    <w:p>
      <w:pPr>
        <w:pStyle w:val="ListNumber"/>
      </w:pPr>
      <w:r>
        <w:t>03-C — Schema / Database Impact Specification</w:t>
      </w:r>
    </w:p>
    <w:p>
      <w:pPr>
        <w:pStyle w:val="ListNumber"/>
      </w:pPr>
      <w:r>
        <w:t>03-D — Provider Adapter &amp; Integration Contract Impact</w:t>
      </w:r>
    </w:p>
    <w:p>
      <w:pPr>
        <w:pStyle w:val="ListNumber"/>
      </w:pPr>
      <w:r>
        <w:t>03-E — API Impact Specification</w:t>
      </w:r>
    </w:p>
    <w:p>
      <w:pPr>
        <w:pStyle w:val="ListNumber"/>
      </w:pPr>
      <w:r>
        <w:t>03-F — RBAC / Permission Impact</w:t>
      </w:r>
    </w:p>
    <w:p>
      <w:pPr>
        <w:pStyle w:val="ListNumber"/>
      </w:pPr>
      <w:r>
        <w:t>03-G — User Flow Impact</w:t>
      </w:r>
    </w:p>
    <w:p>
      <w:pPr>
        <w:pStyle w:val="ListNumber"/>
      </w:pPr>
      <w:r>
        <w:t>03-H — PRD / Product Impact</w:t>
      </w:r>
    </w:p>
    <w:p>
      <w:pPr>
        <w:pStyle w:val="ListNumber"/>
      </w:pPr>
      <w:r>
        <w:t>03-I — Engineering / Playbook Impact</w:t>
      </w:r>
    </w:p>
    <w:p>
      <w:pPr>
        <w:pStyle w:val="ListNumber"/>
      </w:pPr>
      <w:r>
        <w:t>03-J — Test / Business Rule Traceability</w:t>
      </w:r>
    </w:p>
    <w:p>
      <w:pPr>
        <w:pStyle w:val="ListNumber"/>
      </w:pPr>
      <w:r>
        <w:t>03-K — Cross-Document Reconciliation / AEP #4 Synchronization Gate</w:t>
      </w:r>
    </w:p>
    <w:p>
      <w:pPr>
        <w:pStyle w:val="Heading1"/>
      </w:pPr>
      <w:r>
        <w:t>9. Leadership Decision Point</w:t>
      </w:r>
    </w:p>
    <w:p>
      <w:r>
        <w:t>No new user decision is required at this moment. The only explicit AEP #4 open decision is OD-08 and it is intentionally deferred pending provider verification. The next step can proceed without resolving OD-08, provided the design keeps failover non-mandatory and preserves OD-07 provider-switch continuity.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