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RUMAHAGEN — AEP #4 Learning Session</w:t>
        <w:br/>
        <w:t>STEP 04 — Learning Session Domain Architecture Impact</w:t>
      </w:r>
    </w:p>
    <w:p>
      <w:pPr>
        <w:jc w:val="center"/>
      </w:pPr>
      <w:r>
        <w:rPr>
          <w:i/>
        </w:rPr>
        <w:t>Version 1.0 | Logical architecture only | Physical implementation NOT AUTHORIZED</w:t>
      </w:r>
    </w:p>
    <w:p>
      <w:pPr>
        <w:pStyle w:val="Heading1"/>
      </w:pPr>
      <w:r>
        <w:t>1. Purpose &amp; Source Basis</w:t>
      </w:r>
    </w:p>
    <w:p>
      <w:r>
        <w:t>This step translates the approved AEP4 semantic decisions into a logical domain architecture impact. It is intentionally positioned before ERD/schema/API/RBAC implementation. The source architecture defines Learning Session as a capability inside Learning, with a Session Orchestrator and Provider Adapter; AEP #4 governance defines the conceptual evidence chain from provider participation through attendance evaluation, completion policy and Learning Activity.</w:t>
      </w:r>
    </w:p>
    <w:p>
      <w:r>
        <w:t>The existing Learning Session architecture is explicitly future architecture context rather than a final ERD, schema, API contract, permission matrix or ADR.</w:t>
      </w:r>
    </w:p>
    <w:p>
      <w:pPr>
        <w:pStyle w:val="Heading1"/>
      </w:pPr>
      <w:r>
        <w:t>2. Gate Result</w:t>
      </w:r>
    </w:p>
    <w:p>
      <w:r>
        <w:t>PASS — LOGICAL DOMAIN ARCHITECTURE IMPACT DEFINED, WITH CONTROLLED OPEN ITEMS.</w:t>
      </w:r>
    </w:p>
    <w:p>
      <w:r>
        <w:t>No new top-level domain is introduced. Learning remains the owning domain; providers are infrastructure; Learning Economy, Commercial/Payment and Awarding/Competency retain their authorities.</w:t>
      </w:r>
    </w:p>
    <w:p>
      <w:pPr>
        <w:pStyle w:val="Heading1"/>
      </w:pPr>
      <w:r>
        <w:t>3. Target Logical Architecture</w:t>
      </w:r>
    </w:p>
    <w:p>
      <w:r>
        <w:t>Learning</w:t>
      </w:r>
    </w:p>
    <w:p>
      <w:r>
        <w:t xml:space="preserve">  → Learning Session</w:t>
      </w:r>
    </w:p>
    <w:p>
      <w:r>
        <w:t xml:space="preserve">      → Session Orchestrator</w:t>
      </w:r>
    </w:p>
    <w:p>
      <w:r>
        <w:t xml:space="preserve">          → Provider Adapter</w:t>
      </w:r>
    </w:p>
    <w:p>
      <w:r>
        <w:t xml:space="preserve">              → External Provider Infrastructure</w:t>
      </w:r>
    </w:p>
    <w:p>
      <w:r>
        <w:t xml:space="preserve">          ← normalized participation/session evidence</w:t>
      </w:r>
    </w:p>
    <w:p>
      <w:r>
        <w:t xml:space="preserve">      → Attendance Evaluation</w:t>
      </w:r>
    </w:p>
    <w:p>
      <w:r>
        <w:t xml:space="preserve">      → Completion Policy</w:t>
      </w:r>
    </w:p>
    <w:p>
      <w:r>
        <w:t xml:space="preserve">      → Learning Activity Handoff</w:t>
      </w:r>
    </w:p>
    <w:p>
      <w:r>
        <w:t xml:space="preserve">          → Learning Economy / Learning Point processing</w:t>
      </w:r>
    </w:p>
    <w:p>
      <w:r>
        <w:t xml:space="preserve">      → Session Artifact / Recording</w:t>
      </w:r>
    </w:p>
    <w:p>
      <w:r>
        <w:t xml:space="preserve">      → Workspace / Visibility / Access Context</w:t>
      </w:r>
    </w:p>
    <w:p>
      <w:r>
        <w:t xml:space="preserve">      ↔ Commercial/Payment entitlement outcome where access is paid</w:t>
      </w:r>
    </w:p>
    <w:p>
      <w:r>
        <w:t xml:space="preserve">      ↔ AI Assistive capabilities</w:t>
      </w:r>
    </w:p>
    <w:p>
      <w:pPr>
        <w:pStyle w:val="Heading1"/>
      </w:pPr>
      <w:r>
        <w:t>4. Logical Components (NOT Final Entities)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Logical Component</w:t>
            </w:r>
          </w:p>
        </w:tc>
        <w:tc>
          <w:tcPr>
            <w:tcW w:type="dxa" w:w="3456"/>
          </w:tcPr>
          <w:p>
            <w:r>
              <w:t>Role</w:t>
            </w:r>
          </w:p>
        </w:tc>
        <w:tc>
          <w:tcPr>
            <w:tcW w:type="dxa" w:w="3456"/>
          </w:tcPr>
          <w:p>
            <w:r>
              <w:t>Boundary</w:t>
            </w:r>
          </w:p>
        </w:tc>
      </w:tr>
      <w:tr>
        <w:tc>
          <w:tcPr>
            <w:tcW w:type="dxa" w:w="3456"/>
            <w:vAlign w:val="top"/>
          </w:tcPr>
          <w:p>
            <w:r>
              <w:t>Learning Session</w:t>
            </w:r>
          </w:p>
        </w:tc>
        <w:tc>
          <w:tcPr>
            <w:tcW w:type="dxa" w:w="3456"/>
            <w:vAlign w:val="top"/>
          </w:tcPr>
          <w:p>
            <w:r>
              <w:t>Canonical business capability/context</w:t>
            </w:r>
          </w:p>
        </w:tc>
        <w:tc>
          <w:tcPr>
            <w:tcW w:type="dxa" w:w="3456"/>
            <w:vAlign w:val="top"/>
          </w:tcPr>
          <w:p>
            <w:r>
              <w:t>Owns semantic session identity, lifecycle, session type, visibility/context and orchestration boundary.</w:t>
            </w:r>
          </w:p>
        </w:tc>
      </w:tr>
      <w:tr>
        <w:tc>
          <w:tcPr>
            <w:tcW w:type="dxa" w:w="3456"/>
            <w:vAlign w:val="top"/>
          </w:tcPr>
          <w:p>
            <w:r>
              <w:t>Session Orchestrator</w:t>
            </w:r>
          </w:p>
        </w:tc>
        <w:tc>
          <w:tcPr>
            <w:tcW w:type="dxa" w:w="3456"/>
            <w:vAlign w:val="top"/>
          </w:tcPr>
          <w:p>
            <w:r>
              <w:t>Logical coordination capability</w:t>
            </w:r>
          </w:p>
        </w:tc>
        <w:tc>
          <w:tcPr>
            <w:tcW w:type="dxa" w:w="3456"/>
            <w:vAlign w:val="top"/>
          </w:tcPr>
          <w:p>
            <w:r>
              <w:t>Coordinates lifecycle, provider binding, evidence ingestion, synchronization and cross-boundary handoffs; not a new business domain.</w:t>
            </w:r>
          </w:p>
        </w:tc>
      </w:tr>
      <w:tr>
        <w:tc>
          <w:tcPr>
            <w:tcW w:type="dxa" w:w="3456"/>
            <w:vAlign w:val="top"/>
          </w:tcPr>
          <w:p>
            <w:r>
              <w:t>Session Enrollment / Access</w:t>
            </w:r>
          </w:p>
        </w:tc>
        <w:tc>
          <w:tcPr>
            <w:tcW w:type="dxa" w:w="3456"/>
            <w:vAlign w:val="top"/>
          </w:tcPr>
          <w:p>
            <w:r>
              <w:t>Logical learner-session relationship</w:t>
            </w:r>
          </w:p>
        </w:tc>
        <w:tc>
          <w:tcPr>
            <w:tcW w:type="dxa" w:w="3456"/>
            <w:vAlign w:val="top"/>
          </w:tcPr>
          <w:p>
            <w:r>
              <w:t>Represents learner participation/access context; exact lifecycle remains OPEN for next decision.</w:t>
            </w:r>
          </w:p>
        </w:tc>
      </w:tr>
      <w:tr>
        <w:tc>
          <w:tcPr>
            <w:tcW w:type="dxa" w:w="3456"/>
            <w:vAlign w:val="top"/>
          </w:tcPr>
          <w:p>
            <w:r>
              <w:t>Provider Adapter</w:t>
            </w:r>
          </w:p>
        </w:tc>
        <w:tc>
          <w:tcPr>
            <w:tcW w:type="dxa" w:w="3456"/>
            <w:vAlign w:val="top"/>
          </w:tcPr>
          <w:p>
            <w:r>
              <w:t>Infrastructure integration boundary</w:t>
            </w:r>
          </w:p>
        </w:tc>
        <w:tc>
          <w:tcPr>
            <w:tcW w:type="dxa" w:w="3456"/>
            <w:vAlign w:val="top"/>
          </w:tcPr>
          <w:p>
            <w:r>
              <w:t>Maps provider-specific APIs/events into normalized session/evidence semantics; provider is not business authority.</w:t>
            </w:r>
          </w:p>
        </w:tc>
      </w:tr>
      <w:tr>
        <w:tc>
          <w:tcPr>
            <w:tcW w:type="dxa" w:w="3456"/>
            <w:vAlign w:val="top"/>
          </w:tcPr>
          <w:p>
            <w:r>
              <w:t>Provider Binding</w:t>
            </w:r>
          </w:p>
        </w:tc>
        <w:tc>
          <w:tcPr>
            <w:tcW w:type="dxa" w:w="3456"/>
            <w:vAlign w:val="top"/>
          </w:tcPr>
          <w:p>
            <w:r>
              <w:t>Logical infrastructure association</w:t>
            </w:r>
          </w:p>
        </w:tc>
        <w:tc>
          <w:tcPr>
            <w:tcW w:type="dxa" w:w="3456"/>
            <w:vAlign w:val="top"/>
          </w:tcPr>
          <w:p>
            <w:r>
              <w:t>Associates a semantic session with a provider execution context; switching preserves semantic session identity.</w:t>
            </w:r>
          </w:p>
        </w:tc>
      </w:tr>
      <w:tr>
        <w:tc>
          <w:tcPr>
            <w:tcW w:type="dxa" w:w="3456"/>
            <w:vAlign w:val="top"/>
          </w:tcPr>
          <w:p>
            <w:r>
              <w:t>Participation Evidence</w:t>
            </w:r>
          </w:p>
        </w:tc>
        <w:tc>
          <w:tcPr>
            <w:tcW w:type="dxa" w:w="3456"/>
            <w:vAlign w:val="top"/>
          </w:tcPr>
          <w:p>
            <w:r>
              <w:t>Evidence concept</w:t>
            </w:r>
          </w:p>
        </w:tc>
        <w:tc>
          <w:tcPr>
            <w:tcW w:type="dxa" w:w="3456"/>
            <w:vAlign w:val="top"/>
          </w:tcPr>
          <w:p>
            <w:r>
              <w:t>Represents normalized provider participation evidence before attendance evaluation; not final attendance authority.</w:t>
            </w:r>
          </w:p>
        </w:tc>
      </w:tr>
      <w:tr>
        <w:tc>
          <w:tcPr>
            <w:tcW w:type="dxa" w:w="3456"/>
            <w:vAlign w:val="top"/>
          </w:tcPr>
          <w:p>
            <w:r>
              <w:t>Attendance Evaluation</w:t>
            </w:r>
          </w:p>
        </w:tc>
        <w:tc>
          <w:tcPr>
            <w:tcW w:type="dxa" w:w="3456"/>
            <w:vAlign w:val="top"/>
          </w:tcPr>
          <w:p>
            <w:r>
              <w:t>Policy/evaluation capability</w:t>
            </w:r>
          </w:p>
        </w:tc>
        <w:tc>
          <w:tcPr>
            <w:tcW w:type="dxa" w:w="3456"/>
            <w:vAlign w:val="top"/>
          </w:tcPr>
          <w:p>
            <w:r>
              <w:t>Evaluates evidence using configurable attendance policy; exact formula/threshold remains OPEN.</w:t>
            </w:r>
          </w:p>
        </w:tc>
      </w:tr>
      <w:tr>
        <w:tc>
          <w:tcPr>
            <w:tcW w:type="dxa" w:w="3456"/>
            <w:vAlign w:val="top"/>
          </w:tcPr>
          <w:p>
            <w:r>
              <w:t>Completion Evaluation</w:t>
            </w:r>
          </w:p>
        </w:tc>
        <w:tc>
          <w:tcPr>
            <w:tcW w:type="dxa" w:w="3456"/>
            <w:vAlign w:val="top"/>
          </w:tcPr>
          <w:p>
            <w:r>
              <w:t>Policy/evaluation capability</w:t>
            </w:r>
          </w:p>
        </w:tc>
        <w:tc>
          <w:tcPr>
            <w:tcW w:type="dxa" w:w="3456"/>
            <w:vAlign w:val="top"/>
          </w:tcPr>
          <w:p>
            <w:r>
              <w:t>Determines session completion from governed evidence/policy; provider event cannot directly establish completion.</w:t>
            </w:r>
          </w:p>
        </w:tc>
      </w:tr>
      <w:tr>
        <w:tc>
          <w:tcPr>
            <w:tcW w:type="dxa" w:w="3456"/>
            <w:vAlign w:val="top"/>
          </w:tcPr>
          <w:p>
            <w:r>
              <w:t>Learning Activity Handoff</w:t>
            </w:r>
          </w:p>
        </w:tc>
        <w:tc>
          <w:tcPr>
            <w:tcW w:type="dxa" w:w="3456"/>
            <w:vAlign w:val="top"/>
          </w:tcPr>
          <w:p>
            <w:r>
              <w:t>Cross-domain integration boundary</w:t>
            </w:r>
          </w:p>
        </w:tc>
        <w:tc>
          <w:tcPr>
            <w:tcW w:type="dxa" w:w="3456"/>
            <w:vAlign w:val="top"/>
          </w:tcPr>
          <w:p>
            <w:r>
              <w:t>Transfers qualifying completion/evidence into Learning Activity; Learning Economy owns LP processing.</w:t>
            </w:r>
          </w:p>
        </w:tc>
      </w:tr>
      <w:tr>
        <w:tc>
          <w:tcPr>
            <w:tcW w:type="dxa" w:w="3456"/>
            <w:vAlign w:val="top"/>
          </w:tcPr>
          <w:p>
            <w:r>
              <w:t>Session Artifact / Recording</w:t>
            </w:r>
          </w:p>
        </w:tc>
        <w:tc>
          <w:tcPr>
            <w:tcW w:type="dxa" w:w="3456"/>
            <w:vAlign w:val="top"/>
          </w:tcPr>
          <w:p>
            <w:r>
              <w:t>Learning artifact concept</w:t>
            </w:r>
          </w:p>
        </w:tc>
        <w:tc>
          <w:tcPr>
            <w:tcW w:type="dxa" w:w="3456"/>
            <w:vAlign w:val="top"/>
          </w:tcPr>
          <w:p>
            <w:r>
              <w:t>Optional recording/reference; may support ON_DEMAND; storage/retention/privacy remain downstream.</w:t>
            </w:r>
          </w:p>
        </w:tc>
      </w:tr>
      <w:tr>
        <w:tc>
          <w:tcPr>
            <w:tcW w:type="dxa" w:w="3456"/>
            <w:vAlign w:val="top"/>
          </w:tcPr>
          <w:p>
            <w:r>
              <w:t>Workspace / Visibility Context</w:t>
            </w:r>
          </w:p>
        </w:tc>
        <w:tc>
          <w:tcPr>
            <w:tcW w:type="dxa" w:w="3456"/>
            <w:vAlign w:val="top"/>
          </w:tcPr>
          <w:p>
            <w:r>
              <w:t>Access-context capability</w:t>
            </w:r>
          </w:p>
        </w:tc>
        <w:tc>
          <w:tcPr>
            <w:tcW w:type="dxa" w:w="3456"/>
            <w:vAlign w:val="top"/>
          </w:tcPr>
          <w:p>
            <w:r>
              <w:t>Carries organization/workspace and semantic visibility scope where applicable; exact RBAC/cardinality downstream.</w:t>
            </w:r>
          </w:p>
        </w:tc>
      </w:tr>
      <w:tr>
        <w:tc>
          <w:tcPr>
            <w:tcW w:type="dxa" w:w="3456"/>
            <w:vAlign w:val="top"/>
          </w:tcPr>
          <w:p>
            <w:r>
              <w:t>Commercial Access Handoff</w:t>
            </w:r>
          </w:p>
        </w:tc>
        <w:tc>
          <w:tcPr>
            <w:tcW w:type="dxa" w:w="3456"/>
            <w:vAlign w:val="top"/>
          </w:tcPr>
          <w:p>
            <w:r>
              <w:t>Cross-domain integration boundary</w:t>
            </w:r>
          </w:p>
        </w:tc>
        <w:tc>
          <w:tcPr>
            <w:tcW w:type="dxa" w:w="3456"/>
            <w:vAlign w:val="top"/>
          </w:tcPr>
          <w:p>
            <w:r>
              <w:t>Consumes trusted Commercial/Payment entitlement/payment outcome; no payment authority in Learning Session.</w:t>
            </w:r>
          </w:p>
        </w:tc>
      </w:tr>
      <w:tr>
        <w:tc>
          <w:tcPr>
            <w:tcW w:type="dxa" w:w="3456"/>
            <w:vAlign w:val="top"/>
          </w:tcPr>
          <w:p>
            <w:r>
              <w:t>AI Assistive Boundary</w:t>
            </w:r>
          </w:p>
        </w:tc>
        <w:tc>
          <w:tcPr>
            <w:tcW w:type="dxa" w:w="3456"/>
            <w:vAlign w:val="top"/>
          </w:tcPr>
          <w:p>
            <w:r>
              <w:t>Assistive capability boundary</w:t>
            </w:r>
          </w:p>
        </w:tc>
        <w:tc>
          <w:tcPr>
            <w:tcW w:type="dxa" w:w="3456"/>
            <w:vAlign w:val="top"/>
          </w:tcPr>
          <w:p>
            <w:r>
              <w:t>AI may assist/Q&amp;A/summary/transcript/support but cannot become outcome authority.</w:t>
            </w:r>
          </w:p>
        </w:tc>
      </w:tr>
      <w:tr>
        <w:tc>
          <w:tcPr>
            <w:tcW w:type="dxa" w:w="3456"/>
            <w:vAlign w:val="top"/>
          </w:tcPr>
          <w:p>
            <w:r>
              <w:t>Audit / Provenance</w:t>
            </w:r>
          </w:p>
        </w:tc>
        <w:tc>
          <w:tcPr>
            <w:tcW w:type="dxa" w:w="3456"/>
            <w:vAlign w:val="top"/>
          </w:tcPr>
          <w:p>
            <w:r>
              <w:t>Cross-cutting capability</w:t>
            </w:r>
          </w:p>
        </w:tc>
        <w:tc>
          <w:tcPr>
            <w:tcW w:type="dxa" w:w="3456"/>
            <w:vAlign w:val="top"/>
          </w:tcPr>
          <w:p>
            <w:r>
              <w:t>Preserves reconstructable session state, provider provenance, evidence lineage and historical integrity.</w:t>
            </w:r>
          </w:p>
        </w:tc>
      </w:tr>
    </w:tbl>
    <w:p>
      <w:pPr>
        <w:pStyle w:val="Heading1"/>
      </w:pPr>
      <w:r>
        <w:t>5. Core State &amp; Evidence Flows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Flow</w:t>
            </w:r>
          </w:p>
        </w:tc>
        <w:tc>
          <w:tcPr>
            <w:tcW w:type="dxa" w:w="3456"/>
          </w:tcPr>
          <w:p>
            <w:r>
              <w:t>Logical sequence</w:t>
            </w:r>
          </w:p>
        </w:tc>
        <w:tc>
          <w:tcPr>
            <w:tcW w:type="dxa" w:w="3456"/>
          </w:tcPr>
          <w:p>
            <w:r>
              <w:t>Governance meaning</w:t>
            </w:r>
          </w:p>
        </w:tc>
      </w:tr>
      <w:tr>
        <w:tc>
          <w:tcPr>
            <w:tcW w:type="dxa" w:w="3456"/>
          </w:tcPr>
          <w:p>
            <w:r>
              <w:t>Session creation</w:t>
            </w:r>
          </w:p>
        </w:tc>
        <w:tc>
          <w:tcPr>
            <w:tcW w:type="dxa" w:w="3456"/>
          </w:tcPr>
          <w:p>
            <w:r>
              <w:t>Authorized actor → Learning Session → DRAFT</w:t>
            </w:r>
          </w:p>
        </w:tc>
        <w:tc>
          <w:tcPr>
            <w:tcW w:type="dxa" w:w="3456"/>
          </w:tcPr>
          <w:p>
            <w:r>
              <w:t>Semantic session identity created in Learning.</w:t>
            </w:r>
          </w:p>
        </w:tc>
      </w:tr>
      <w:tr>
        <w:tc>
          <w:tcPr>
            <w:tcW w:type="dxa" w:w="3456"/>
          </w:tcPr>
          <w:p>
            <w:r>
              <w:t>Scheduling</w:t>
            </w:r>
          </w:p>
        </w:tc>
        <w:tc>
          <w:tcPr>
            <w:tcW w:type="dxa" w:w="3456"/>
          </w:tcPr>
          <w:p>
            <w:r>
              <w:t>DRAFT → SCHEDULED</w:t>
            </w:r>
          </w:p>
        </w:tc>
        <w:tc>
          <w:tcPr>
            <w:tcW w:type="dxa" w:w="3456"/>
          </w:tcPr>
          <w:p>
            <w:r>
              <w:t>Schedule/provider execution context prepared; exact provider capability verification remains downstream.</w:t>
            </w:r>
          </w:p>
        </w:tc>
      </w:tr>
      <w:tr>
        <w:tc>
          <w:tcPr>
            <w:tcW w:type="dxa" w:w="3456"/>
          </w:tcPr>
          <w:p>
            <w:r>
              <w:t>Execution</w:t>
            </w:r>
          </w:p>
        </w:tc>
        <w:tc>
          <w:tcPr>
            <w:tcW w:type="dxa" w:w="3456"/>
          </w:tcPr>
          <w:p>
            <w:r>
              <w:t>SCHEDULED → LIVE → ENDED</w:t>
            </w:r>
          </w:p>
        </w:tc>
        <w:tc>
          <w:tcPr>
            <w:tcW w:type="dxa" w:w="3456"/>
          </w:tcPr>
          <w:p>
            <w:r>
              <w:t>Provider executes session through adapter; RUMAHAGEN remains business-state authority.</w:t>
            </w:r>
          </w:p>
        </w:tc>
      </w:tr>
      <w:tr>
        <w:tc>
          <w:tcPr>
            <w:tcW w:type="dxa" w:w="3456"/>
          </w:tcPr>
          <w:p>
            <w:r>
              <w:t>Participation</w:t>
            </w:r>
          </w:p>
        </w:tc>
        <w:tc>
          <w:tcPr>
            <w:tcW w:type="dxa" w:w="3456"/>
          </w:tcPr>
          <w:p>
            <w:r>
              <w:t>Provider events → Adapter → normalized evidence</w:t>
            </w:r>
          </w:p>
        </w:tc>
        <w:tc>
          <w:tcPr>
            <w:tcW w:type="dxa" w:w="3456"/>
          </w:tcPr>
          <w:p>
            <w:r>
              <w:t>Evidence is validated/normalized/idempotent before evaluation.</w:t>
            </w:r>
          </w:p>
        </w:tc>
      </w:tr>
      <w:tr>
        <w:tc>
          <w:tcPr>
            <w:tcW w:type="dxa" w:w="3456"/>
          </w:tcPr>
          <w:p>
            <w:r>
              <w:t>Attendance</w:t>
            </w:r>
          </w:p>
        </w:tc>
        <w:tc>
          <w:tcPr>
            <w:tcW w:type="dxa" w:w="3456"/>
          </w:tcPr>
          <w:p>
            <w:r>
              <w:t>Normalized evidence → Attendance Evaluation</w:t>
            </w:r>
          </w:p>
        </w:tc>
        <w:tc>
          <w:tcPr>
            <w:tcW w:type="dxa" w:w="3456"/>
          </w:tcPr>
          <w:p>
            <w:r>
              <w:t>Configurable attendance policy determines business attendance; exact formula is open.</w:t>
            </w:r>
          </w:p>
        </w:tc>
      </w:tr>
      <w:tr>
        <w:tc>
          <w:tcPr>
            <w:tcW w:type="dxa" w:w="3456"/>
          </w:tcPr>
          <w:p>
            <w:r>
              <w:t>Completion</w:t>
            </w:r>
          </w:p>
        </w:tc>
        <w:tc>
          <w:tcPr>
            <w:tcW w:type="dxa" w:w="3456"/>
          </w:tcPr>
          <w:p>
            <w:r>
              <w:t>Attendance/other governed evidence → Completion Policy</w:t>
            </w:r>
          </w:p>
        </w:tc>
        <w:tc>
          <w:tcPr>
            <w:tcW w:type="dxa" w:w="3456"/>
          </w:tcPr>
          <w:p>
            <w:r>
              <w:t>Completion is derived, not directly asserted by provider event.</w:t>
            </w:r>
          </w:p>
        </w:tc>
      </w:tr>
      <w:tr>
        <w:tc>
          <w:tcPr>
            <w:tcW w:type="dxa" w:w="3456"/>
          </w:tcPr>
          <w:p>
            <w:r>
              <w:t>Learning outcome</w:t>
            </w:r>
          </w:p>
        </w:tc>
        <w:tc>
          <w:tcPr>
            <w:tcW w:type="dxa" w:w="3456"/>
          </w:tcPr>
          <w:p>
            <w:r>
              <w:t>Qualifying completion → Learning Activity</w:t>
            </w:r>
          </w:p>
        </w:tc>
        <w:tc>
          <w:tcPr>
            <w:tcW w:type="dxa" w:w="3456"/>
          </w:tcPr>
          <w:p>
            <w:r>
              <w:t>Learning Activity receives evidence/outcome; LP processing remains Learning Economy authority.</w:t>
            </w:r>
          </w:p>
        </w:tc>
      </w:tr>
      <w:tr>
        <w:tc>
          <w:tcPr>
            <w:tcW w:type="dxa" w:w="3456"/>
          </w:tcPr>
          <w:p>
            <w:r>
              <w:t>Paid access</w:t>
            </w:r>
          </w:p>
        </w:tc>
        <w:tc>
          <w:tcPr>
            <w:tcW w:type="dxa" w:w="3456"/>
          </w:tcPr>
          <w:p>
            <w:r>
              <w:t>Enroll/access request → Commercial/Payment outcome → Learning access</w:t>
            </w:r>
          </w:p>
        </w:tc>
        <w:tc>
          <w:tcPr>
            <w:tcW w:type="dxa" w:w="3456"/>
          </w:tcPr>
          <w:p>
            <w:r>
              <w:t>Payment/pricing/entitlement remains outside Learning Session.</w:t>
            </w:r>
          </w:p>
        </w:tc>
      </w:tr>
      <w:tr>
        <w:tc>
          <w:tcPr>
            <w:tcW w:type="dxa" w:w="3456"/>
          </w:tcPr>
          <w:p>
            <w:r>
              <w:t>Recording</w:t>
            </w:r>
          </w:p>
        </w:tc>
        <w:tc>
          <w:tcPr>
            <w:tcW w:type="dxa" w:w="3456"/>
          </w:tcPr>
          <w:p>
            <w:r>
              <w:t>Provider/session → optional recording artifact → ON_DEMAND</w:t>
            </w:r>
          </w:p>
        </w:tc>
        <w:tc>
          <w:tcPr>
            <w:tcW w:type="dxa" w:w="3456"/>
          </w:tcPr>
          <w:p>
            <w:r>
              <w:t>Recording is not attendance/completion authority.</w:t>
            </w:r>
          </w:p>
        </w:tc>
      </w:tr>
      <w:tr>
        <w:tc>
          <w:tcPr>
            <w:tcW w:type="dxa" w:w="3456"/>
          </w:tcPr>
          <w:p>
            <w:r>
              <w:t>Provider switch</w:t>
            </w:r>
          </w:p>
        </w:tc>
        <w:tc>
          <w:tcPr>
            <w:tcW w:type="dxa" w:w="3456"/>
          </w:tcPr>
          <w:p>
            <w:r>
              <w:t>Existing session → new provider binding</w:t>
            </w:r>
          </w:p>
        </w:tc>
        <w:tc>
          <w:tcPr>
            <w:tcW w:type="dxa" w:w="3456"/>
          </w:tcPr>
          <w:p>
            <w:r>
              <w:t>Same semantic session/history/enrollment/outcome; automatic failover remains open.</w:t>
            </w:r>
          </w:p>
        </w:tc>
      </w:tr>
    </w:tbl>
    <w:p>
      <w:pPr>
        <w:pStyle w:val="Heading1"/>
      </w:pPr>
      <w:r>
        <w:t>6. Authority / Boundary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Area</w:t>
            </w:r>
          </w:p>
        </w:tc>
        <w:tc>
          <w:tcPr>
            <w:tcW w:type="dxa" w:w="5184"/>
          </w:tcPr>
          <w:p>
            <w:r>
              <w:t>Canonical boundary</w:t>
            </w:r>
          </w:p>
        </w:tc>
      </w:tr>
      <w:tr>
        <w:tc>
          <w:tcPr>
            <w:tcW w:type="dxa" w:w="5184"/>
          </w:tcPr>
          <w:p>
            <w:r>
              <w:t>Inside Learning Session</w:t>
            </w:r>
          </w:p>
        </w:tc>
        <w:tc>
          <w:tcPr>
            <w:tcW w:type="dxa" w:w="5184"/>
          </w:tcPr>
          <w:p>
            <w:r>
              <w:t>Semantic identity, lifecycle, type, visibility context, session coordination, learner-session access context, evidence evaluation and Learning Activity handoff.</w:t>
            </w:r>
          </w:p>
        </w:tc>
      </w:tr>
      <w:tr>
        <w:tc>
          <w:tcPr>
            <w:tcW w:type="dxa" w:w="5184"/>
          </w:tcPr>
          <w:p>
            <w:r>
              <w:t>Provider infrastructure</w:t>
            </w:r>
          </w:p>
        </w:tc>
        <w:tc>
          <w:tcPr>
            <w:tcW w:type="dxa" w:w="5184"/>
          </w:tcPr>
          <w:p>
            <w:r>
              <w:t>Provider API, provider event model, external session identity, provider credentials/tokens, provider-specific capabilities.</w:t>
            </w:r>
          </w:p>
        </w:tc>
      </w:tr>
      <w:tr>
        <w:tc>
          <w:tcPr>
            <w:tcW w:type="dxa" w:w="5184"/>
          </w:tcPr>
          <w:p>
            <w:r>
              <w:t>Learning Economy</w:t>
            </w:r>
          </w:p>
        </w:tc>
        <w:tc>
          <w:tcPr>
            <w:tcW w:type="dxa" w:w="5184"/>
          </w:tcPr>
          <w:p>
            <w:r>
              <w:t>Learning Point transactions/reward semantics; session cannot directly create official LP transaction.</w:t>
            </w:r>
          </w:p>
        </w:tc>
      </w:tr>
      <w:tr>
        <w:tc>
          <w:tcPr>
            <w:tcW w:type="dxa" w:w="5184"/>
          </w:tcPr>
          <w:p>
            <w:r>
              <w:t>Commercial/Payment</w:t>
            </w:r>
          </w:p>
        </w:tc>
        <w:tc>
          <w:tcPr>
            <w:tcW w:type="dxa" w:w="5184"/>
          </w:tcPr>
          <w:p>
            <w:r>
              <w:t>Pricing, order, payment, entitlement, fulfillment and payment reconciliation.</w:t>
            </w:r>
          </w:p>
        </w:tc>
      </w:tr>
      <w:tr>
        <w:tc>
          <w:tcPr>
            <w:tcW w:type="dxa" w:w="5184"/>
          </w:tcPr>
          <w:p>
            <w:r>
              <w:t>Competency / Credential</w:t>
            </w:r>
          </w:p>
        </w:tc>
        <w:tc>
          <w:tcPr>
            <w:tcW w:type="dxa" w:w="5184"/>
          </w:tcPr>
          <w:p>
            <w:r>
              <w:t>Assessment/competency/credential authority; session completion does not automatically establish competency/credential.</w:t>
            </w:r>
          </w:p>
        </w:tc>
      </w:tr>
      <w:tr>
        <w:tc>
          <w:tcPr>
            <w:tcW w:type="dxa" w:w="5184"/>
          </w:tcPr>
          <w:p>
            <w:r>
              <w:t>Awarding</w:t>
            </w:r>
          </w:p>
        </w:tc>
        <w:tc>
          <w:tcPr>
            <w:tcW w:type="dxa" w:w="5184"/>
          </w:tcPr>
          <w:p>
            <w:r>
              <w:t>Title eligibility and Award Instance authority remain under Awarding architecture.</w:t>
            </w:r>
          </w:p>
        </w:tc>
      </w:tr>
      <w:tr>
        <w:tc>
          <w:tcPr>
            <w:tcW w:type="dxa" w:w="5184"/>
          </w:tcPr>
          <w:p>
            <w:r>
              <w:t>Authorization</w:t>
            </w:r>
          </w:p>
        </w:tc>
        <w:tc>
          <w:tcPr>
            <w:tcW w:type="dxa" w:w="5184"/>
          </w:tcPr>
          <w:p>
            <w:r>
              <w:t>Exact RBAC/permission mechanics remain authorization-owned.</w:t>
            </w:r>
          </w:p>
        </w:tc>
      </w:tr>
      <w:tr>
        <w:tc>
          <w:tcPr>
            <w:tcW w:type="dxa" w:w="5184"/>
          </w:tcPr>
          <w:p>
            <w:r>
              <w:t>Media operations</w:t>
            </w:r>
          </w:p>
        </w:tc>
        <w:tc>
          <w:tcPr>
            <w:tcW w:type="dxa" w:w="5184"/>
          </w:tcPr>
          <w:p>
            <w:r>
              <w:t>Storage, retention, privacy, transcript, replay and DRM are downstream media/operational decisions.</w:t>
            </w:r>
          </w:p>
        </w:tc>
      </w:tr>
    </w:tbl>
    <w:p>
      <w:pPr>
        <w:pStyle w:val="Heading1"/>
      </w:pPr>
      <w:r>
        <w:t>7. Impact on Existing Learning Architecture</w:t>
      </w:r>
    </w:p>
    <w:p>
      <w:pPr>
        <w:pStyle w:val="ListBullet"/>
      </w:pPr>
      <w:r>
        <w:t>Learning module evolves to include Learning Session as a capability rather than a new domain.</w:t>
      </w:r>
    </w:p>
    <w:p>
      <w:pPr>
        <w:pStyle w:val="ListBullet"/>
      </w:pPr>
      <w:r>
        <w:t>The existing candidate learning_sessions concept is retained only as architecture evidence; its final entity structure is not approved.</w:t>
      </w:r>
    </w:p>
    <w:p>
      <w:pPr>
        <w:pStyle w:val="ListBullet"/>
      </w:pPr>
      <w:r>
        <w:t>Provider field/external session ID concepts remain infrastructure-binding concepts and must not become the semantic identity of the Learning Session.</w:t>
      </w:r>
    </w:p>
    <w:p>
      <w:pPr>
        <w:pStyle w:val="ListBullet"/>
      </w:pPr>
      <w:r>
        <w:t>Workspace integration remains supported; exact relationship/cardinality is not locked.</w:t>
      </w:r>
    </w:p>
    <w:p>
      <w:pPr>
        <w:pStyle w:val="ListBullet"/>
      </w:pPr>
      <w:r>
        <w:t>Attendance/progress synchronization becomes an evidence pipeline rather than a provider-truth shortcut.</w:t>
      </w:r>
    </w:p>
    <w:p>
      <w:pPr>
        <w:pStyle w:val="ListBullet"/>
      </w:pPr>
      <w:r>
        <w:t>Completion must become a governed evaluation outcome before it can cross into Learning Activity.</w:t>
      </w:r>
    </w:p>
    <w:p>
      <w:pPr>
        <w:pStyle w:val="ListBullet"/>
      </w:pPr>
      <w:r>
        <w:t>Recording is represented as an optional artifact/reference, not as attendance/completion state.</w:t>
      </w:r>
    </w:p>
    <w:p>
      <w:pPr>
        <w:pStyle w:val="ListBullet"/>
      </w:pPr>
      <w:r>
        <w:t>Commercial access is a cross-domain entitlement/payment handoff, not embedded payment logic.</w:t>
      </w:r>
    </w:p>
    <w:p>
      <w:pPr>
        <w:pStyle w:val="ListBullet"/>
      </w:pPr>
      <w:r>
        <w:t>Audit/activity logging must preserve business state changes and evidence lineage; existing project audit architecture should be reused/evolved rather than creating a parallel authority.</w:t>
      </w:r>
    </w:p>
    <w:p>
      <w:pPr>
        <w:pStyle w:val="Heading1"/>
      </w:pPr>
      <w:r>
        <w:t>8. Cross-AEP Impact</w:t>
      </w:r>
    </w:p>
    <w:p>
      <w:pPr>
        <w:pStyle w:val="ListBullet"/>
      </w:pPr>
      <w:r>
        <w:t>AEP #2: qualifying session completion feeds Learning Activity, but Learning Points remain governed by the Learning Economy. Learning Activity remains conditional on MADCR-049.</w:t>
      </w:r>
    </w:p>
    <w:p>
      <w:pPr>
        <w:pStyle w:val="ListBullet"/>
      </w:pPr>
      <w:r>
        <w:t>AEP #1: paid session access consumes Commercial/Payment outcomes; Payment remains Commercial-owned and is not duplicated in Learning Session.</w:t>
      </w:r>
    </w:p>
    <w:p>
      <w:pPr>
        <w:pStyle w:val="ListBullet"/>
      </w:pPr>
      <w:r>
        <w:t>AEP #3: session completion/evidence must not bypass Assessment, Credential or Awarding authority; Title/Award Instance remains separate.</w:t>
      </w:r>
    </w:p>
    <w:p>
      <w:pPr>
        <w:pStyle w:val="ListBullet"/>
      </w:pPr>
      <w:r>
        <w:t>Workspace/Authorization: semantic workspace and visibility context is present, but exact RBAC remains downstream.</w:t>
      </w:r>
    </w:p>
    <w:p>
      <w:pPr>
        <w:pStyle w:val="Heading1"/>
      </w:pPr>
      <w:r>
        <w:t>9. Open Items / Decision Queue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Item</w:t>
            </w:r>
          </w:p>
        </w:tc>
        <w:tc>
          <w:tcPr>
            <w:tcW w:type="dxa" w:w="2592"/>
          </w:tcPr>
          <w:p>
            <w:r>
              <w:t>Question / Gap</w:t>
            </w:r>
          </w:p>
        </w:tc>
        <w:tc>
          <w:tcPr>
            <w:tcW w:type="dxa" w:w="2592"/>
          </w:tcPr>
          <w:p>
            <w:r>
              <w:t>Status</w:t>
            </w:r>
          </w:p>
        </w:tc>
        <w:tc>
          <w:tcPr>
            <w:tcW w:type="dxa" w:w="2592"/>
          </w:tcPr>
          <w:p>
            <w:r>
              <w:t>Next handling</w:t>
            </w:r>
          </w:p>
        </w:tc>
      </w:tr>
      <w:tr>
        <w:tc>
          <w:tcPr>
            <w:tcW w:type="dxa" w:w="2592"/>
          </w:tcPr>
          <w:p>
            <w:r>
              <w:t>AEP4-OD-08</w:t>
            </w:r>
          </w:p>
        </w:tc>
        <w:tc>
          <w:tcPr>
            <w:tcW w:type="dxa" w:w="2592"/>
          </w:tcPr>
          <w:p>
            <w:r>
              <w:t>Automatic provider failover</w:t>
            </w:r>
          </w:p>
        </w:tc>
        <w:tc>
          <w:tcPr>
            <w:tcW w:type="dxa" w:w="2592"/>
          </w:tcPr>
          <w:p>
            <w:r>
              <w:t>OPEN / DEFERRED</w:t>
            </w:r>
          </w:p>
        </w:tc>
        <w:tc>
          <w:tcPr>
            <w:tcW w:type="dxa" w:w="2592"/>
          </w:tcPr>
          <w:p>
            <w:r>
              <w:t>Provider capability and technical/operational verification.</w:t>
            </w:r>
          </w:p>
        </w:tc>
      </w:tr>
      <w:tr>
        <w:tc>
          <w:tcPr>
            <w:tcW w:type="dxa" w:w="2592"/>
          </w:tcPr>
          <w:p>
            <w:r>
              <w:t>AEP4-OD-16 (proposed)</w:t>
            </w:r>
          </w:p>
        </w:tc>
        <w:tc>
          <w:tcPr>
            <w:tcW w:type="dxa" w:w="2592"/>
          </w:tcPr>
          <w:p>
            <w:r>
              <w:t>Enrollment lifecycle / access activation</w:t>
            </w:r>
          </w:p>
        </w:tc>
        <w:tc>
          <w:tcPr>
            <w:tcW w:type="dxa" w:w="2592"/>
          </w:tcPr>
          <w:p>
            <w:r>
              <w:t>OPEN — user decision required</w:t>
            </w:r>
          </w:p>
        </w:tc>
        <w:tc>
          <w:tcPr>
            <w:tcW w:type="dxa" w:w="2592"/>
          </w:tcPr>
          <w:p>
            <w:r>
              <w:t>Decide whether semantic enrollment has states such as PENDING → ACTIVE and what activates access.</w:t>
            </w:r>
          </w:p>
        </w:tc>
      </w:tr>
      <w:tr>
        <w:tc>
          <w:tcPr>
            <w:tcW w:type="dxa" w:w="2592"/>
          </w:tcPr>
          <w:p>
            <w:r>
              <w:t>Attendance policy</w:t>
            </w:r>
          </w:p>
        </w:tc>
        <w:tc>
          <w:tcPr>
            <w:tcW w:type="dxa" w:w="2592"/>
          </w:tcPr>
          <w:p>
            <w:r>
              <w:t>Exact attendance formula / threshold / exceptions</w:t>
            </w:r>
          </w:p>
        </w:tc>
        <w:tc>
          <w:tcPr>
            <w:tcW w:type="dxa" w:w="2592"/>
          </w:tcPr>
          <w:p>
            <w:r>
              <w:t>OPEN</w:t>
            </w:r>
          </w:p>
        </w:tc>
        <w:tc>
          <w:tcPr>
            <w:tcW w:type="dxa" w:w="2592"/>
          </w:tcPr>
          <w:p>
            <w:r>
              <w:t>Business Rule / Configuration stage.</w:t>
            </w:r>
          </w:p>
        </w:tc>
      </w:tr>
      <w:tr>
        <w:tc>
          <w:tcPr>
            <w:tcW w:type="dxa" w:w="2592"/>
          </w:tcPr>
          <w:p>
            <w:r>
              <w:t>Visibility taxonomy</w:t>
            </w:r>
          </w:p>
        </w:tc>
        <w:tc>
          <w:tcPr>
            <w:tcW w:type="dxa" w:w="2592"/>
          </w:tcPr>
          <w:p>
            <w:r>
              <w:t>Final visibility enum/taxonomy</w:t>
            </w:r>
          </w:p>
        </w:tc>
        <w:tc>
          <w:tcPr>
            <w:tcW w:type="dxa" w:w="2592"/>
          </w:tcPr>
          <w:p>
            <w:r>
              <w:t>OPEN</w:t>
            </w:r>
          </w:p>
        </w:tc>
        <w:tc>
          <w:tcPr>
            <w:tcW w:type="dxa" w:w="2592"/>
          </w:tcPr>
          <w:p>
            <w:r>
              <w:t>Semantic scope approved; final values remain downstream.</w:t>
            </w:r>
          </w:p>
        </w:tc>
      </w:tr>
      <w:tr>
        <w:tc>
          <w:tcPr>
            <w:tcW w:type="dxa" w:w="2592"/>
          </w:tcPr>
          <w:p>
            <w:r>
              <w:t>Capacity</w:t>
            </w:r>
          </w:p>
        </w:tc>
        <w:tc>
          <w:tcPr>
            <w:tcW w:type="dxa" w:w="2592"/>
          </w:tcPr>
          <w:p>
            <w:r>
              <w:t>Maximum participant capacity</w:t>
            </w:r>
          </w:p>
        </w:tc>
        <w:tc>
          <w:tcPr>
            <w:tcW w:type="dxa" w:w="2592"/>
          </w:tcPr>
          <w:p>
            <w:r>
              <w:t>OPEN</w:t>
            </w:r>
          </w:p>
        </w:tc>
        <w:tc>
          <w:tcPr>
            <w:tcW w:type="dxa" w:w="2592"/>
          </w:tcPr>
          <w:p>
            <w:r>
              <w:t>No evidence sufficient to lock a value.</w:t>
            </w:r>
          </w:p>
        </w:tc>
      </w:tr>
      <w:tr>
        <w:tc>
          <w:tcPr>
            <w:tcW w:type="dxa" w:w="2592"/>
          </w:tcPr>
          <w:p>
            <w:r>
              <w:t>Provider contracts</w:t>
            </w:r>
          </w:p>
        </w:tc>
        <w:tc>
          <w:tcPr>
            <w:tcW w:type="dxa" w:w="2592"/>
          </w:tcPr>
          <w:p>
            <w:r>
              <w:t>API/OAuth/event schemas/capabilities</w:t>
            </w:r>
          </w:p>
        </w:tc>
        <w:tc>
          <w:tcPr>
            <w:tcW w:type="dxa" w:w="2592"/>
          </w:tcPr>
          <w:p>
            <w:r>
              <w:t>OPEN</w:t>
            </w:r>
          </w:p>
        </w:tc>
        <w:tc>
          <w:tcPr>
            <w:tcW w:type="dxa" w:w="2592"/>
          </w:tcPr>
          <w:p>
            <w:r>
              <w:t>Provider verification stage.</w:t>
            </w:r>
          </w:p>
        </w:tc>
      </w:tr>
      <w:tr>
        <w:tc>
          <w:tcPr>
            <w:tcW w:type="dxa" w:w="2592"/>
          </w:tcPr>
          <w:p>
            <w:r>
              <w:t>Recording policy</w:t>
            </w:r>
          </w:p>
        </w:tc>
        <w:tc>
          <w:tcPr>
            <w:tcW w:type="dxa" w:w="2592"/>
          </w:tcPr>
          <w:p>
            <w:r>
              <w:t>Retention/privacy/transcript/replay</w:t>
            </w:r>
          </w:p>
        </w:tc>
        <w:tc>
          <w:tcPr>
            <w:tcW w:type="dxa" w:w="2592"/>
          </w:tcPr>
          <w:p>
            <w:r>
              <w:t>OPEN</w:t>
            </w:r>
          </w:p>
        </w:tc>
        <w:tc>
          <w:tcPr>
            <w:tcW w:type="dxa" w:w="2592"/>
          </w:tcPr>
          <w:p>
            <w:r>
              <w:t>Media/operational design stage.</w:t>
            </w:r>
          </w:p>
        </w:tc>
      </w:tr>
      <w:tr>
        <w:tc>
          <w:tcPr>
            <w:tcW w:type="dxa" w:w="2592"/>
          </w:tcPr>
          <w:p>
            <w:r>
              <w:t>RBAC</w:t>
            </w:r>
          </w:p>
        </w:tc>
        <w:tc>
          <w:tcPr>
            <w:tcW w:type="dxa" w:w="2592"/>
          </w:tcPr>
          <w:p>
            <w:r>
              <w:t>Exact permission IDs and actor matrix</w:t>
            </w:r>
          </w:p>
        </w:tc>
        <w:tc>
          <w:tcPr>
            <w:tcW w:type="dxa" w:w="2592"/>
          </w:tcPr>
          <w:p>
            <w:r>
              <w:t>OPEN</w:t>
            </w:r>
          </w:p>
        </w:tc>
        <w:tc>
          <w:tcPr>
            <w:tcW w:type="dxa" w:w="2592"/>
          </w:tcPr>
          <w:p>
            <w:r>
              <w:t>Authorization reconciliation stage.</w:t>
            </w:r>
          </w:p>
        </w:tc>
      </w:tr>
      <w:tr>
        <w:tc>
          <w:tcPr>
            <w:tcW w:type="dxa" w:w="2592"/>
          </w:tcPr>
          <w:p>
            <w:r>
              <w:t>MADCR-049</w:t>
            </w:r>
          </w:p>
        </w:tc>
        <w:tc>
          <w:tcPr>
            <w:tcW w:type="dxa" w:w="2592"/>
          </w:tcPr>
          <w:p>
            <w:r>
              <w:t>Learning Activity evidence definition</w:t>
            </w:r>
          </w:p>
        </w:tc>
        <w:tc>
          <w:tcPr>
            <w:tcW w:type="dxa" w:w="2592"/>
          </w:tcPr>
          <w:p>
            <w:r>
              <w:t>OPEN / RE-EVALUATION</w:t>
            </w:r>
          </w:p>
        </w:tc>
        <w:tc>
          <w:tcPr>
            <w:tcW w:type="dxa" w:w="2592"/>
          </w:tcPr>
          <w:p>
            <w:r>
              <w:t>Independent governance residual; AEP #4 must not close it.</w:t>
            </w:r>
          </w:p>
        </w:tc>
      </w:tr>
    </w:tbl>
    <w:p>
      <w:pPr>
        <w:pStyle w:val="Heading1"/>
      </w:pPr>
      <w:r>
        <w:t>10. New User Decision Required — AEP4-OD-16</w:t>
      </w:r>
    </w:p>
    <w:p>
      <w:r>
        <w:t>Step 04 exposes a genuine semantic gap: the architecture needs a learner-session access/enrollment state, but the evidence and approved decisions do not define its lifecycle. An earlier discussion suggested a possible PENDING → ACTIVE model for paid/free access, but no user decision has locked it. Therefore it must not be inferred.</w:t>
      </w:r>
    </w:p>
    <w:p>
      <w:r>
        <w:t>Question: Should Learning Session Enrollment have a canonical semantic lifecycle that separates an enrollment/access request from active access?</w:t>
      </w:r>
    </w:p>
    <w:p>
      <w:r>
        <w:t>A — YES: define a canonical enrollment lifecycle (initial semantic direction; exact states/transition rules decided next).</w:t>
      </w:r>
    </w:p>
    <w:p>
      <w:r>
        <w:t>B — NO: enrollment is an instantaneous relationship and access is evaluated separately.</w:t>
      </w:r>
    </w:p>
    <w:p>
      <w:r>
        <w:t>Recommendation: A. This preserves separation between enrollment intent, Commercial entitlement/payment outcome, authorization, and actual session access. Choosing A does not establish any payment or attendance value.</w:t>
      </w:r>
    </w:p>
    <w:p>
      <w:pPr>
        <w:pStyle w:val="Heading1"/>
      </w:pPr>
      <w:r>
        <w:t>11. Next Step After OD-16</w:t>
      </w:r>
    </w:p>
    <w:p>
      <w:r>
        <w:t>After the user decision on OD-16, proceed to STEP 05 — Logical Entity / Relationship Impact (ERD-level, still not physical SQL), with explicit handling of the MADCR-049 condition. Then proceed to Schema, API, RBAC, User Flow, PRD, Engineering, Test/BR Traceability, and final AEP #4 reconciliation in the locked synchronization order.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