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RUMAHAGEN — AEP #4 Learning Session</w:t>
        <w:br/>
        <w:t>OD-16 Decision &amp; STEP 05 — Logical Entity / Relationship Impact</w:t>
      </w:r>
    </w:p>
    <w:p>
      <w:pPr>
        <w:jc w:val="center"/>
      </w:pPr>
      <w:r>
        <w:rPr>
          <w:i/>
        </w:rPr>
        <w:t>Version 1.0 | Logical model only | Physical implementation NOT AUTHORIZED</w:t>
      </w:r>
    </w:p>
    <w:p>
      <w:pPr>
        <w:pStyle w:val="Heading1"/>
      </w:pPr>
      <w:r>
        <w:t>1. AEP4-OD-16 Decision</w:t>
      </w:r>
    </w:p>
    <w:p>
      <w:r>
        <w:t>Decision: A — APPROVED.</w:t>
      </w:r>
    </w:p>
    <w:p>
      <w:r>
        <w:t>Learning Session Enrollment has a canonical semantic lifecycle that separates enrollment/access request from active access. The approval establishes the lifecycle principle only; it does not yet lock the final state enumeration or every transition rule.</w:t>
      </w:r>
    </w:p>
    <w:p>
      <w:r>
        <w:t>Canonical direction:</w:t>
      </w:r>
    </w:p>
    <w:p>
      <w:r>
        <w:t>Enrollment Intent / Request</w:t>
      </w:r>
    </w:p>
    <w:p>
      <w:r>
        <w:t>↓</w:t>
      </w:r>
    </w:p>
    <w:p>
      <w:r>
        <w:t>PENDING</w:t>
      </w:r>
    </w:p>
    <w:p>
      <w:r>
        <w:t>↓</w:t>
      </w:r>
    </w:p>
    <w:p>
      <w:r>
        <w:t>ACTIVE ACCESS</w:t>
      </w:r>
    </w:p>
    <w:p>
      <w:r>
        <w:t>The model must preserve separation between enrollment intent, Commercial entitlement/payment outcome, authorization, and actual session access. Free access may activate through a valid non-payment entitlement; paid access may require a successful Commercial/Payment outcome. Exact activation conditions remain downstream.</w:t>
      </w:r>
    </w:p>
    <w:p>
      <w:pPr>
        <w:pStyle w:val="Heading1"/>
      </w:pPr>
      <w:r>
        <w:t>2. STEP 05 Gate</w:t>
      </w:r>
    </w:p>
    <w:p>
      <w:r>
        <w:t>PASS — LOGICAL ENTITY / RELATIONSHIP IMPACT MAY PROCEED. This step does not define physical SQL tables, columns, indexes, foreign keys, migrations, API payloads, or final RBAC IDs.</w:t>
      </w:r>
    </w:p>
    <w:p>
      <w:pPr>
        <w:pStyle w:val="Heading1"/>
      </w:pPr>
      <w:r>
        <w:t>3. Logical Entity Candidates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Logical Entity / Concept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Authority / Boundary</w:t>
            </w:r>
          </w:p>
        </w:tc>
      </w:tr>
      <w:tr>
        <w:tc>
          <w:tcPr>
            <w:tcW w:type="dxa" w:w="3408"/>
          </w:tcPr>
          <w:p>
            <w:r>
              <w:t>Learning Session</w:t>
            </w:r>
          </w:p>
        </w:tc>
        <w:tc>
          <w:tcPr>
            <w:tcW w:type="dxa" w:w="3408"/>
          </w:tcPr>
          <w:p>
            <w:r>
              <w:t>Semantic identity and lifecycle of a session.</w:t>
            </w:r>
          </w:p>
        </w:tc>
        <w:tc>
          <w:tcPr>
            <w:tcW w:type="dxa" w:w="3408"/>
          </w:tcPr>
          <w:p>
            <w:r>
              <w:t>Core Learning</w:t>
            </w:r>
          </w:p>
        </w:tc>
      </w:tr>
      <w:tr>
        <w:tc>
          <w:tcPr>
            <w:tcW w:type="dxa" w:w="3408"/>
          </w:tcPr>
          <w:p>
            <w:r>
              <w:t>Session Enrollment</w:t>
            </w:r>
          </w:p>
        </w:tc>
        <w:tc>
          <w:tcPr>
            <w:tcW w:type="dxa" w:w="3408"/>
          </w:tcPr>
          <w:p>
            <w:r>
              <w:t>Learner-to-session relationship and enrollment lifecycle.</w:t>
            </w:r>
          </w:p>
        </w:tc>
        <w:tc>
          <w:tcPr>
            <w:tcW w:type="dxa" w:w="3408"/>
          </w:tcPr>
          <w:p>
            <w:r>
              <w:t>Learning Session</w:t>
            </w:r>
          </w:p>
        </w:tc>
      </w:tr>
      <w:tr>
        <w:tc>
          <w:tcPr>
            <w:tcW w:type="dxa" w:w="3408"/>
          </w:tcPr>
          <w:p>
            <w:r>
              <w:t>Provider Binding</w:t>
            </w:r>
          </w:p>
        </w:tc>
        <w:tc>
          <w:tcPr>
            <w:tcW w:type="dxa" w:w="3408"/>
          </w:tcPr>
          <w:p>
            <w:r>
              <w:t>Association between semantic session and provider execution context.</w:t>
            </w:r>
          </w:p>
        </w:tc>
        <w:tc>
          <w:tcPr>
            <w:tcW w:type="dxa" w:w="3408"/>
          </w:tcPr>
          <w:p>
            <w:r>
              <w:t>Provider Adapter boundary</w:t>
            </w:r>
          </w:p>
        </w:tc>
      </w:tr>
      <w:tr>
        <w:tc>
          <w:tcPr>
            <w:tcW w:type="dxa" w:w="3408"/>
          </w:tcPr>
          <w:p>
            <w:r>
              <w:t>Participation Evidence</w:t>
            </w:r>
          </w:p>
        </w:tc>
        <w:tc>
          <w:tcPr>
            <w:tcW w:type="dxa" w:w="3408"/>
          </w:tcPr>
          <w:p>
            <w:r>
              <w:t>Normalized evidence received from provider execution.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</w:tr>
      <w:tr>
        <w:tc>
          <w:tcPr>
            <w:tcW w:type="dxa" w:w="3408"/>
          </w:tcPr>
          <w:p>
            <w:r>
              <w:t>Attendance Evaluation</w:t>
            </w:r>
          </w:p>
        </w:tc>
        <w:tc>
          <w:tcPr>
            <w:tcW w:type="dxa" w:w="3408"/>
          </w:tcPr>
          <w:p>
            <w:r>
              <w:t>Evaluated attendance outcome under policy.</w:t>
            </w:r>
          </w:p>
        </w:tc>
        <w:tc>
          <w:tcPr>
            <w:tcW w:type="dxa" w:w="3408"/>
          </w:tcPr>
          <w:p>
            <w:r>
              <w:t>Learning policy</w:t>
            </w:r>
          </w:p>
        </w:tc>
      </w:tr>
      <w:tr>
        <w:tc>
          <w:tcPr>
            <w:tcW w:type="dxa" w:w="3408"/>
          </w:tcPr>
          <w:p>
            <w:r>
              <w:t>Completion Outcome</w:t>
            </w:r>
          </w:p>
        </w:tc>
        <w:tc>
          <w:tcPr>
            <w:tcW w:type="dxa" w:w="3408"/>
          </w:tcPr>
          <w:p>
            <w:r>
              <w:t>Governed session completion result.</w:t>
            </w:r>
          </w:p>
        </w:tc>
        <w:tc>
          <w:tcPr>
            <w:tcW w:type="dxa" w:w="3408"/>
          </w:tcPr>
          <w:p>
            <w:r>
              <w:t>Learning Activity handoff</w:t>
            </w:r>
          </w:p>
        </w:tc>
      </w:tr>
      <w:tr>
        <w:tc>
          <w:tcPr>
            <w:tcW w:type="dxa" w:w="3408"/>
          </w:tcPr>
          <w:p>
            <w:r>
              <w:t>Session Artifact / Recording</w:t>
            </w:r>
          </w:p>
        </w:tc>
        <w:tc>
          <w:tcPr>
            <w:tcW w:type="dxa" w:w="3408"/>
          </w:tcPr>
          <w:p>
            <w:r>
              <w:t>Optional media/artifact reference associated with session.</w:t>
            </w:r>
          </w:p>
        </w:tc>
        <w:tc>
          <w:tcPr>
            <w:tcW w:type="dxa" w:w="3408"/>
          </w:tcPr>
          <w:p>
            <w:r>
              <w:t>Learning Artifact</w:t>
            </w:r>
          </w:p>
        </w:tc>
      </w:tr>
      <w:tr>
        <w:tc>
          <w:tcPr>
            <w:tcW w:type="dxa" w:w="3408"/>
          </w:tcPr>
          <w:p>
            <w:r>
              <w:t>Workspace / Access Scope</w:t>
            </w:r>
          </w:p>
        </w:tc>
        <w:tc>
          <w:tcPr>
            <w:tcW w:type="dxa" w:w="3408"/>
          </w:tcPr>
          <w:p>
            <w:r>
              <w:t>Semantic workspace and visibility context.</w:t>
            </w:r>
          </w:p>
        </w:tc>
        <w:tc>
          <w:tcPr>
            <w:tcW w:type="dxa" w:w="3408"/>
          </w:tcPr>
          <w:p>
            <w:r>
              <w:t>Workspace / Authorization</w:t>
            </w:r>
          </w:p>
        </w:tc>
      </w:tr>
      <w:tr>
        <w:tc>
          <w:tcPr>
            <w:tcW w:type="dxa" w:w="3408"/>
          </w:tcPr>
          <w:p>
            <w:r>
              <w:t>Commercial Access Reference</w:t>
            </w:r>
          </w:p>
        </w:tc>
        <w:tc>
          <w:tcPr>
            <w:tcW w:type="dxa" w:w="3408"/>
          </w:tcPr>
          <w:p>
            <w:r>
              <w:t>Reference to trusted entitlement/payment outcome, not payment authority.</w:t>
            </w:r>
          </w:p>
        </w:tc>
        <w:tc>
          <w:tcPr>
            <w:tcW w:type="dxa" w:w="3408"/>
          </w:tcPr>
          <w:p>
            <w:r>
              <w:t>Commercial/Payment</w:t>
            </w:r>
          </w:p>
        </w:tc>
      </w:tr>
      <w:tr>
        <w:tc>
          <w:tcPr>
            <w:tcW w:type="dxa" w:w="3408"/>
          </w:tcPr>
          <w:p>
            <w:r>
              <w:t>Audit / Provenance Record</w:t>
            </w:r>
          </w:p>
        </w:tc>
        <w:tc>
          <w:tcPr>
            <w:tcW w:type="dxa" w:w="3408"/>
          </w:tcPr>
          <w:p>
            <w:r>
              <w:t>Cross-cutting trace of state/evidence transitions.</w:t>
            </w:r>
          </w:p>
        </w:tc>
        <w:tc>
          <w:tcPr>
            <w:tcW w:type="dxa" w:w="3408"/>
          </w:tcPr>
          <w:p>
            <w:r>
              <w:t>Audit/Provenance</w:t>
            </w:r>
          </w:p>
        </w:tc>
      </w:tr>
    </w:tbl>
    <w:p>
      <w:pPr>
        <w:pStyle w:val="Heading1"/>
      </w:pPr>
      <w:r>
        <w:t>4. Logical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Relationship</w:t>
            </w:r>
          </w:p>
        </w:tc>
        <w:tc>
          <w:tcPr>
            <w:tcW w:type="dxa" w:w="5112"/>
          </w:tcPr>
          <w:p>
            <w:r>
              <w:t>Canonical interpretation</w:t>
            </w:r>
          </w:p>
        </w:tc>
      </w:tr>
      <w:tr>
        <w:tc>
          <w:tcPr>
            <w:tcW w:type="dxa" w:w="5112"/>
          </w:tcPr>
          <w:p>
            <w:r>
              <w:t>Learning Session → Session Enrollment</w:t>
            </w:r>
          </w:p>
        </w:tc>
        <w:tc>
          <w:tcPr>
            <w:tcW w:type="dxa" w:w="5112"/>
          </w:tcPr>
          <w:p>
            <w:r>
              <w:t>One semantic session may have multiple learner enrollment relationships; exact cardinality constraints remain downstream.</w:t>
            </w:r>
          </w:p>
        </w:tc>
      </w:tr>
      <w:tr>
        <w:tc>
          <w:tcPr>
            <w:tcW w:type="dxa" w:w="5112"/>
          </w:tcPr>
          <w:p>
            <w:r>
              <w:t>Learning Session → Provider Binding</w:t>
            </w:r>
          </w:p>
        </w:tc>
        <w:tc>
          <w:tcPr>
            <w:tcW w:type="dxa" w:w="5112"/>
          </w:tcPr>
          <w:p>
            <w:r>
              <w:t>A session has a provider execution binding; provider switching must preserve semantic session identity/history.</w:t>
            </w:r>
          </w:p>
        </w:tc>
      </w:tr>
      <w:tr>
        <w:tc>
          <w:tcPr>
            <w:tcW w:type="dxa" w:w="5112"/>
          </w:tcPr>
          <w:p>
            <w:r>
              <w:t>Session Enrollment → Commercial Access Reference</w:t>
            </w:r>
          </w:p>
        </w:tc>
        <w:tc>
          <w:tcPr>
            <w:tcW w:type="dxa" w:w="5112"/>
          </w:tcPr>
          <w:p>
            <w:r>
              <w:t>Paid access may reference a Commercial/Payment outcome; Learning Session does not own payment.</w:t>
            </w:r>
          </w:p>
        </w:tc>
      </w:tr>
      <w:tr>
        <w:tc>
          <w:tcPr>
            <w:tcW w:type="dxa" w:w="5112"/>
          </w:tcPr>
          <w:p>
            <w:r>
              <w:t>Provider Binding → Participation Evidence</w:t>
            </w:r>
          </w:p>
        </w:tc>
        <w:tc>
          <w:tcPr>
            <w:tcW w:type="dxa" w:w="5112"/>
          </w:tcPr>
          <w:p>
            <w:r>
              <w:t>Provider execution generates evidence through the Provider Adapter; evidence is normalized/idempotently processed.</w:t>
            </w:r>
          </w:p>
        </w:tc>
      </w:tr>
      <w:tr>
        <w:tc>
          <w:tcPr>
            <w:tcW w:type="dxa" w:w="5112"/>
          </w:tcPr>
          <w:p>
            <w:r>
              <w:t>Participation Evidence → Attendance Evaluation</w:t>
            </w:r>
          </w:p>
        </w:tc>
        <w:tc>
          <w:tcPr>
            <w:tcW w:type="dxa" w:w="5112"/>
          </w:tcPr>
          <w:p>
            <w:r>
              <w:t>Evidence is input to attendance policy/evaluation, not authoritative attendance by itself.</w:t>
            </w:r>
          </w:p>
        </w:tc>
      </w:tr>
      <w:tr>
        <w:tc>
          <w:tcPr>
            <w:tcW w:type="dxa" w:w="5112"/>
          </w:tcPr>
          <w:p>
            <w:r>
              <w:t>Attendance Evaluation → Completion Outcome</w:t>
            </w:r>
          </w:p>
        </w:tc>
        <w:tc>
          <w:tcPr>
            <w:tcW w:type="dxa" w:w="5112"/>
          </w:tcPr>
          <w:p>
            <w:r>
              <w:t>Completion consumes governed evidence/policy; exact completion rule remains downstream.</w:t>
            </w:r>
          </w:p>
        </w:tc>
      </w:tr>
      <w:tr>
        <w:tc>
          <w:tcPr>
            <w:tcW w:type="dxa" w:w="5112"/>
          </w:tcPr>
          <w:p>
            <w:r>
              <w:t>Completion Outcome → Learning Activity</w:t>
            </w:r>
          </w:p>
        </w:tc>
        <w:tc>
          <w:tcPr>
            <w:tcW w:type="dxa" w:w="5112"/>
          </w:tcPr>
          <w:p>
            <w:r>
              <w:t>Qualifying completion crosses the Learning Activity boundary; Learning Economy remains authority for LP processing.</w:t>
            </w:r>
          </w:p>
        </w:tc>
      </w:tr>
      <w:tr>
        <w:tc>
          <w:tcPr>
            <w:tcW w:type="dxa" w:w="5112"/>
          </w:tcPr>
          <w:p>
            <w:r>
              <w:t>Learning Session → Session Artifact / Recording</w:t>
            </w:r>
          </w:p>
        </w:tc>
        <w:tc>
          <w:tcPr>
            <w:tcW w:type="dxa" w:w="5112"/>
          </w:tcPr>
          <w:p>
            <w:r>
              <w:t>Recording is optional and separate from attendance/completion authority.</w:t>
            </w:r>
          </w:p>
        </w:tc>
      </w:tr>
      <w:tr>
        <w:tc>
          <w:tcPr>
            <w:tcW w:type="dxa" w:w="5112"/>
          </w:tcPr>
          <w:p>
            <w:r>
              <w:t>Learning Session → Workspace / Access Scope</w:t>
            </w:r>
          </w:p>
        </w:tc>
        <w:tc>
          <w:tcPr>
            <w:tcW w:type="dxa" w:w="5112"/>
          </w:tcPr>
          <w:p>
            <w:r>
              <w:t>Session may carry applicable workspace/visibility context; exact RBAC/cardinality remains downstream.</w:t>
            </w:r>
          </w:p>
        </w:tc>
      </w:tr>
      <w:tr>
        <w:tc>
          <w:tcPr>
            <w:tcW w:type="dxa" w:w="5112"/>
          </w:tcPr>
          <w:p>
            <w:r>
              <w:t>All major state/evidence concepts → Audit / Provenance</w:t>
            </w:r>
          </w:p>
        </w:tc>
        <w:tc>
          <w:tcPr>
            <w:tcW w:type="dxa" w:w="5112"/>
          </w:tcPr>
          <w:p>
            <w:r>
              <w:t>State changes and evidence lineage must remain reconstructable/auditable.</w:t>
            </w:r>
          </w:p>
        </w:tc>
      </w:tr>
    </w:tbl>
    <w:p>
      <w:pPr>
        <w:pStyle w:val="Heading1"/>
      </w:pPr>
      <w:r>
        <w:t>5. Enrollment Lifecycle — Controlled Boundary</w:t>
      </w:r>
    </w:p>
    <w:p>
      <w:pPr>
        <w:pStyle w:val="ListBullet"/>
      </w:pPr>
      <w:r>
        <w:t>PENDING represents a valid enrollment/access request that has not yet satisfied the activation condition.</w:t>
      </w:r>
    </w:p>
    <w:p>
      <w:pPr>
        <w:pStyle w:val="ListBullet"/>
      </w:pPr>
      <w:r>
        <w:t>ACTIVE represents an enrollment with access granted according to the applicable entitlement/authorization conditions.</w:t>
      </w:r>
    </w:p>
    <w:p>
      <w:pPr>
        <w:pStyle w:val="ListBullet"/>
      </w:pPr>
      <w:r>
        <w:t>Payment success is not itself the semantic definition of ACTIVE; it is one possible upstream Commercial/Payment outcome.</w:t>
      </w:r>
    </w:p>
    <w:p>
      <w:pPr>
        <w:pStyle w:val="ListBullet"/>
      </w:pPr>
      <w:r>
        <w:t>Free entitlement can satisfy activation without payment.</w:t>
      </w:r>
    </w:p>
    <w:p>
      <w:pPr>
        <w:pStyle w:val="ListBullet"/>
      </w:pPr>
      <w:r>
        <w:t>Provider attendance must not activate enrollment.</w:t>
      </w:r>
    </w:p>
    <w:p>
      <w:pPr>
        <w:pStyle w:val="ListBullet"/>
      </w:pPr>
      <w:r>
        <w:t>Completion must not be required merely to create ACTIVE enrollment.</w:t>
      </w:r>
    </w:p>
    <w:p>
      <w:pPr>
        <w:pStyle w:val="ListBullet"/>
      </w:pPr>
      <w:r>
        <w:t>Exact terminal states (cancelled, withdrawn, expired, rejected, etc.) are not yet locked.</w:t>
      </w:r>
    </w:p>
    <w:p>
      <w:pPr>
        <w:pStyle w:val="Heading1"/>
      </w:pPr>
      <w:r>
        <w:t>6. Important Non-Entities / External Authorities</w:t>
      </w:r>
    </w:p>
    <w:p>
      <w:pPr>
        <w:pStyle w:val="ListBullet"/>
      </w:pPr>
      <w:r>
        <w:t>Payment Order / Payment Transaction — owned by Commercial/Payment.</w:t>
      </w:r>
    </w:p>
    <w:p>
      <w:pPr>
        <w:pStyle w:val="ListBullet"/>
      </w:pPr>
      <w:r>
        <w:t>Learning Point Transaction / Balance — owned by Learning Economy.</w:t>
      </w:r>
    </w:p>
    <w:p>
      <w:pPr>
        <w:pStyle w:val="ListBullet"/>
      </w:pPr>
      <w:r>
        <w:t>Competency — owned by Assessment/Competency authority.</w:t>
      </w:r>
    </w:p>
    <w:p>
      <w:pPr>
        <w:pStyle w:val="ListBullet"/>
      </w:pPr>
      <w:r>
        <w:t>Credential — owned by Credential authority.</w:t>
      </w:r>
    </w:p>
    <w:p>
      <w:pPr>
        <w:pStyle w:val="ListBullet"/>
      </w:pPr>
      <w:r>
        <w:t>Award Instance / Title — owned by Awarding authority.</w:t>
      </w:r>
    </w:p>
    <w:p>
      <w:pPr>
        <w:pStyle w:val="ListBullet"/>
      </w:pPr>
      <w:r>
        <w:t>Provider session identity — external infrastructure identity, never semantic Learning Session identity.</w:t>
      </w:r>
    </w:p>
    <w:p>
      <w:pPr>
        <w:pStyle w:val="ListBullet"/>
      </w:pPr>
      <w:r>
        <w:t>AI decision — assistive output, never authoritative learning outcome.</w:t>
      </w:r>
    </w:p>
    <w:p>
      <w:pPr>
        <w:pStyle w:val="Heading1"/>
      </w:pPr>
      <w:r>
        <w:t>7. Open Items After STEP 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Item</w:t>
            </w:r>
          </w:p>
        </w:tc>
        <w:tc>
          <w:tcPr>
            <w:tcW w:type="dxa" w:w="2556"/>
          </w:tcPr>
          <w:p>
            <w:r>
              <w:t>Gap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Next Stage</w:t>
            </w:r>
          </w:p>
        </w:tc>
      </w:tr>
      <w:tr>
        <w:tc>
          <w:tcPr>
            <w:tcW w:type="dxa" w:w="2556"/>
          </w:tcPr>
          <w:p>
            <w:r>
              <w:t>AEP4-OD-08</w:t>
            </w:r>
          </w:p>
        </w:tc>
        <w:tc>
          <w:tcPr>
            <w:tcW w:type="dxa" w:w="2556"/>
          </w:tcPr>
          <w:p>
            <w:r>
              <w:t>Automatic provider failover</w:t>
            </w:r>
          </w:p>
        </w:tc>
        <w:tc>
          <w:tcPr>
            <w:tcW w:type="dxa" w:w="2556"/>
          </w:tcPr>
          <w:p>
            <w:r>
              <w:t>OPEN / DEFERRED</w:t>
            </w:r>
          </w:p>
        </w:tc>
        <w:tc>
          <w:tcPr>
            <w:tcW w:type="dxa" w:w="2556"/>
          </w:tcPr>
          <w:p>
            <w:r>
              <w:t>Provider capability/technical verification.</w:t>
            </w:r>
          </w:p>
        </w:tc>
      </w:tr>
      <w:tr>
        <w:tc>
          <w:tcPr>
            <w:tcW w:type="dxa" w:w="2556"/>
          </w:tcPr>
          <w:p>
            <w:r>
              <w:t>Enrollment states</w:t>
            </w:r>
          </w:p>
        </w:tc>
        <w:tc>
          <w:tcPr>
            <w:tcW w:type="dxa" w:w="2556"/>
          </w:tcPr>
          <w:p>
            <w:r>
              <w:t>Final state enumeration and transition matrix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  <w:tc>
          <w:tcPr>
            <w:tcW w:type="dxa" w:w="2556"/>
          </w:tcPr>
          <w:p>
            <w:r>
              <w:t>Next detailed business-rule decision.</w:t>
            </w:r>
          </w:p>
        </w:tc>
      </w:tr>
      <w:tr>
        <w:tc>
          <w:tcPr>
            <w:tcW w:type="dxa" w:w="2556"/>
          </w:tcPr>
          <w:p>
            <w:r>
              <w:t>Attendance</w:t>
            </w:r>
          </w:p>
        </w:tc>
        <w:tc>
          <w:tcPr>
            <w:tcW w:type="dxa" w:w="2556"/>
          </w:tcPr>
          <w:p>
            <w:r>
              <w:t>Formula, threshold and exceptions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  <w:tc>
          <w:tcPr>
            <w:tcW w:type="dxa" w:w="2556"/>
          </w:tcPr>
          <w:p>
            <w:r>
              <w:t>Business Rule / Configuration.</w:t>
            </w:r>
          </w:p>
        </w:tc>
      </w:tr>
      <w:tr>
        <w:tc>
          <w:tcPr>
            <w:tcW w:type="dxa" w:w="2556"/>
          </w:tcPr>
          <w:p>
            <w:r>
              <w:t>Capacity</w:t>
            </w:r>
          </w:p>
        </w:tc>
        <w:tc>
          <w:tcPr>
            <w:tcW w:type="dxa" w:w="2556"/>
          </w:tcPr>
          <w:p>
            <w:r>
              <w:t>Maximum participant count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  <w:tc>
          <w:tcPr>
            <w:tcW w:type="dxa" w:w="2556"/>
          </w:tcPr>
          <w:p>
            <w:r>
              <w:t>Evidence/provider/business decision.</w:t>
            </w:r>
          </w:p>
        </w:tc>
      </w:tr>
      <w:tr>
        <w:tc>
          <w:tcPr>
            <w:tcW w:type="dxa" w:w="2556"/>
          </w:tcPr>
          <w:p>
            <w:r>
              <w:t>Visibility</w:t>
            </w:r>
          </w:p>
        </w:tc>
        <w:tc>
          <w:tcPr>
            <w:tcW w:type="dxa" w:w="2556"/>
          </w:tcPr>
          <w:p>
            <w:r>
              <w:t>Final taxonomy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  <w:tc>
          <w:tcPr>
            <w:tcW w:type="dxa" w:w="2556"/>
          </w:tcPr>
          <w:p>
            <w:r>
              <w:t>Downstream design.</w:t>
            </w:r>
          </w:p>
        </w:tc>
      </w:tr>
      <w:tr>
        <w:tc>
          <w:tcPr>
            <w:tcW w:type="dxa" w:w="2556"/>
          </w:tcPr>
          <w:p>
            <w:r>
              <w:t>Provider integration</w:t>
            </w:r>
          </w:p>
        </w:tc>
        <w:tc>
          <w:tcPr>
            <w:tcW w:type="dxa" w:w="2556"/>
          </w:tcPr>
          <w:p>
            <w:r>
              <w:t>Exact API/OAuth/events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  <w:tc>
          <w:tcPr>
            <w:tcW w:type="dxa" w:w="2556"/>
          </w:tcPr>
          <w:p>
            <w:r>
              <w:t>Provider verification.</w:t>
            </w:r>
          </w:p>
        </w:tc>
      </w:tr>
      <w:tr>
        <w:tc>
          <w:tcPr>
            <w:tcW w:type="dxa" w:w="2556"/>
          </w:tcPr>
          <w:p>
            <w:r>
              <w:t>Recording</w:t>
            </w:r>
          </w:p>
        </w:tc>
        <w:tc>
          <w:tcPr>
            <w:tcW w:type="dxa" w:w="2556"/>
          </w:tcPr>
          <w:p>
            <w:r>
              <w:t>Retention/privacy/replay/transcript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  <w:tc>
          <w:tcPr>
            <w:tcW w:type="dxa" w:w="2556"/>
          </w:tcPr>
          <w:p>
            <w:r>
              <w:t>Media design.</w:t>
            </w:r>
          </w:p>
        </w:tc>
      </w:tr>
      <w:tr>
        <w:tc>
          <w:tcPr>
            <w:tcW w:type="dxa" w:w="2556"/>
          </w:tcPr>
          <w:p>
            <w:r>
              <w:t>RBAC</w:t>
            </w:r>
          </w:p>
        </w:tc>
        <w:tc>
          <w:tcPr>
            <w:tcW w:type="dxa" w:w="2556"/>
          </w:tcPr>
          <w:p>
            <w:r>
              <w:t>Exact permissions/actors</w:t>
            </w:r>
          </w:p>
        </w:tc>
        <w:tc>
          <w:tcPr>
            <w:tcW w:type="dxa" w:w="2556"/>
          </w:tcPr>
          <w:p>
            <w:r>
              <w:t>OPEN</w:t>
            </w:r>
          </w:p>
        </w:tc>
        <w:tc>
          <w:tcPr>
            <w:tcW w:type="dxa" w:w="2556"/>
          </w:tcPr>
          <w:p>
            <w:r>
              <w:t>Authorization reconciliation.</w:t>
            </w:r>
          </w:p>
        </w:tc>
      </w:tr>
      <w:tr>
        <w:tc>
          <w:tcPr>
            <w:tcW w:type="dxa" w:w="2556"/>
          </w:tcPr>
          <w:p>
            <w:r>
              <w:t>MADCR-049</w:t>
            </w:r>
          </w:p>
        </w:tc>
        <w:tc>
          <w:tcPr>
            <w:tcW w:type="dxa" w:w="2556"/>
          </w:tcPr>
          <w:p>
            <w:r>
              <w:t>Learning Activity evidence model</w:t>
            </w:r>
          </w:p>
        </w:tc>
        <w:tc>
          <w:tcPr>
            <w:tcW w:type="dxa" w:w="2556"/>
          </w:tcPr>
          <w:p>
            <w:r>
              <w:t>OPEN / RE-EVALUATION</w:t>
            </w:r>
          </w:p>
        </w:tc>
        <w:tc>
          <w:tcPr>
            <w:tcW w:type="dxa" w:w="2556"/>
          </w:tcPr>
          <w:p>
            <w:r>
              <w:t>Independent governance residual.</w:t>
            </w:r>
          </w:p>
        </w:tc>
      </w:tr>
    </w:tbl>
    <w:p>
      <w:pPr>
        <w:pStyle w:val="Heading1"/>
      </w:pPr>
      <w:r>
        <w:t>8. Next Leadership Question</w:t>
      </w:r>
    </w:p>
    <w:p>
      <w:r>
        <w:t>The logical entity impact is now sufficiently defined to continue without another broad architecture question. The next focused decision should determine the final enrollment lifecycle states and transition authority. AEP4-OD-08 remains independently deferred and should not be conflated with enrollment lifecycle.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