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RUMAHAGEN — AEP #4 Learning Session</w:t>
        <w:br/>
        <w:t>STEP 05 — AEP4-OD-17 Enrollment Lifecycle</w:t>
      </w:r>
    </w:p>
    <w:p>
      <w:pPr>
        <w:jc w:val="center"/>
      </w:pPr>
      <w:r>
        <w:rPr>
          <w:i/>
        </w:rPr>
        <w:t>Version 1.0 | Logical/business lifecycle | Physical implementation NOT AUTHORIZED</w:t>
      </w:r>
    </w:p>
    <w:p>
      <w:pPr>
        <w:pStyle w:val="Heading1"/>
      </w:pPr>
      <w:r>
        <w:t>1. Decision</w:t>
      </w:r>
    </w:p>
    <w:p>
      <w:r>
        <w:t>AEP4-OD-17 — A — APPROVED.</w:t>
      </w:r>
    </w:p>
    <w:p>
      <w:r>
        <w:t>The canonical Learning Session Enrollment lifecycle is defined as:</w:t>
      </w:r>
    </w:p>
    <w:p>
      <w:r>
        <w:t>PENDING → ACTIVE → COMPLETED</w:t>
      </w:r>
    </w:p>
    <w:p>
      <w:r>
        <w:t>No separate CANCELLED / WITHDRAWN / EXPIRED / REJECTED enrollment states are introduced by this decision.</w:t>
      </w:r>
    </w:p>
    <w:p>
      <w:pPr>
        <w:pStyle w:val="Heading1"/>
      </w:pPr>
      <w:r>
        <w:t>2. Critical Boundary: Enrollment vs Session Completion</w:t>
      </w:r>
    </w:p>
    <w:p>
      <w:r>
        <w:t>COMPLETED in this lifecycle is the enrollment's historical outcome and must not be confused with the Learning Session's own lifecycle state or with a provider's participation event. The transition to COMPLETED is governed by the approved completion-evaluation boundary. This decision does not make the provider authoritative for completion.</w:t>
      </w:r>
    </w:p>
    <w:p>
      <w:pPr>
        <w:pStyle w:val="Heading1"/>
      </w:pPr>
      <w:r>
        <w:t>3. State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State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Access implication</w:t>
            </w:r>
          </w:p>
        </w:tc>
      </w:tr>
      <w:tr>
        <w:tc>
          <w:tcPr>
            <w:tcW w:type="dxa" w:w="3408"/>
          </w:tcPr>
          <w:p>
            <w:r>
              <w:t>PENDING</w:t>
            </w:r>
          </w:p>
        </w:tc>
        <w:tc>
          <w:tcPr>
            <w:tcW w:type="dxa" w:w="3408"/>
          </w:tcPr>
          <w:p>
            <w:r>
              <w:t>Enrollment/access request exists but activation conditions have not yet been satisfied.</w:t>
            </w:r>
          </w:p>
        </w:tc>
        <w:tc>
          <w:tcPr>
            <w:tcW w:type="dxa" w:w="3408"/>
          </w:tcPr>
          <w:p>
            <w:r>
              <w:t>No active session access.</w:t>
            </w:r>
          </w:p>
        </w:tc>
      </w:tr>
      <w:tr>
        <w:tc>
          <w:tcPr>
            <w:tcW w:type="dxa" w:w="3408"/>
          </w:tcPr>
          <w:p>
            <w:r>
              <w:t>ACTIVE</w:t>
            </w:r>
          </w:p>
        </w:tc>
        <w:tc>
          <w:tcPr>
            <w:tcW w:type="dxa" w:w="3408"/>
          </w:tcPr>
          <w:p>
            <w:r>
              <w:t>Enrollment is activated under the applicable entitlement/authorization conditions.</w:t>
            </w:r>
          </w:p>
        </w:tc>
        <w:tc>
          <w:tcPr>
            <w:tcW w:type="dxa" w:w="3408"/>
          </w:tcPr>
          <w:p>
            <w:r>
              <w:t>Learner has session access.</w:t>
            </w:r>
          </w:p>
        </w:tc>
      </w:tr>
      <w:tr>
        <w:tc>
          <w:tcPr>
            <w:tcW w:type="dxa" w:w="3408"/>
          </w:tcPr>
          <w:p>
            <w:r>
              <w:t>COMPLETED</w:t>
            </w:r>
          </w:p>
        </w:tc>
        <w:tc>
          <w:tcPr>
            <w:tcW w:type="dxa" w:w="3408"/>
          </w:tcPr>
          <w:p>
            <w:r>
              <w:t>The learner-session enrollment has reached the governed completion outcome.</w:t>
            </w:r>
          </w:p>
        </w:tc>
        <w:tc>
          <w:tcPr>
            <w:tcW w:type="dxa" w:w="3408"/>
          </w:tcPr>
          <w:p>
            <w:r>
              <w:t>Enrollment remains historical and records completion outcome.</w:t>
            </w:r>
          </w:p>
        </w:tc>
      </w:tr>
    </w:tbl>
    <w:p>
      <w:pPr>
        <w:pStyle w:val="Heading1"/>
      </w:pPr>
      <w:r>
        <w:t>4. Transition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Transition</w:t>
            </w:r>
          </w:p>
        </w:tc>
        <w:tc>
          <w:tcPr>
            <w:tcW w:type="dxa" w:w="3408"/>
          </w:tcPr>
          <w:p>
            <w:r>
              <w:t>Trigger</w:t>
            </w:r>
          </w:p>
        </w:tc>
        <w:tc>
          <w:tcPr>
            <w:tcW w:type="dxa" w:w="3408"/>
          </w:tcPr>
          <w:p>
            <w:r>
              <w:t>Authority / condition</w:t>
            </w:r>
          </w:p>
        </w:tc>
      </w:tr>
      <w:tr>
        <w:tc>
          <w:tcPr>
            <w:tcW w:type="dxa" w:w="3408"/>
          </w:tcPr>
          <w:p>
            <w:r>
              <w:t>PENDING → ACTIVE</w:t>
            </w:r>
          </w:p>
        </w:tc>
        <w:tc>
          <w:tcPr>
            <w:tcW w:type="dxa" w:w="3408"/>
          </w:tcPr>
          <w:p>
            <w:r>
              <w:t>Applicable activation condition is satisfied.</w:t>
            </w:r>
          </w:p>
        </w:tc>
        <w:tc>
          <w:tcPr>
            <w:tcW w:type="dxa" w:w="3408"/>
          </w:tcPr>
          <w:p>
            <w:r>
              <w:t>Commercial/Payment entitlement, free entitlement, or other governed access condition.</w:t>
            </w:r>
          </w:p>
        </w:tc>
      </w:tr>
      <w:tr>
        <w:tc>
          <w:tcPr>
            <w:tcW w:type="dxa" w:w="3408"/>
          </w:tcPr>
          <w:p>
            <w:r>
              <w:t>ACTIVE → COMPLETED</w:t>
            </w:r>
          </w:p>
        </w:tc>
        <w:tc>
          <w:tcPr>
            <w:tcW w:type="dxa" w:w="3408"/>
          </w:tcPr>
          <w:p>
            <w:r>
              <w:t>Governed session completion outcome is established.</w:t>
            </w:r>
          </w:p>
        </w:tc>
        <w:tc>
          <w:tcPr>
            <w:tcW w:type="dxa" w:w="3408"/>
          </w:tcPr>
          <w:p>
            <w:r>
              <w:t>Completion policy/evaluation; provider event alone is insufficient.</w:t>
            </w:r>
          </w:p>
        </w:tc>
      </w:tr>
    </w:tbl>
    <w:p>
      <w:pPr>
        <w:pStyle w:val="Heading1"/>
      </w:pPr>
      <w:r>
        <w:t>5. Governance Guardrails</w:t>
      </w:r>
    </w:p>
    <w:p>
      <w:pPr>
        <w:pStyle w:val="ListBullet"/>
      </w:pPr>
      <w:r>
        <w:t>Payment success is not the definition of ACTIVE; it is one possible upstream Commercial/Payment outcome that may satisfy an activation condition.</w:t>
      </w:r>
    </w:p>
    <w:p>
      <w:pPr>
        <w:pStyle w:val="ListBullet"/>
      </w:pPr>
      <w:r>
        <w:t>Free entitlement may activate an enrollment without a payment transaction.</w:t>
      </w:r>
    </w:p>
    <w:p>
      <w:pPr>
        <w:pStyle w:val="ListBullet"/>
      </w:pPr>
      <w:r>
        <w:t>Provider attendance does not activate an enrollment.</w:t>
      </w:r>
    </w:p>
    <w:p>
      <w:pPr>
        <w:pStyle w:val="ListBullet"/>
      </w:pPr>
      <w:r>
        <w:t>Provider events do not directly establish COMPLETED.</w:t>
      </w:r>
    </w:p>
    <w:p>
      <w:pPr>
        <w:pStyle w:val="ListBullet"/>
      </w:pPr>
      <w:r>
        <w:t>COMPLETED is a historical enrollment outcome and does not itself create Learning Points, competency, credential or Title/Award.</w:t>
      </w:r>
    </w:p>
    <w:p>
      <w:pPr>
        <w:pStyle w:val="ListBullet"/>
      </w:pPr>
      <w:r>
        <w:t>Learning Economy remains authority for Learning Point processing after qualifying learning activity/completion.</w:t>
      </w:r>
    </w:p>
    <w:p>
      <w:pPr>
        <w:pStyle w:val="ListBullet"/>
      </w:pPr>
      <w:r>
        <w:t>No exception/terminal enrollment state is implied beyond the three-state lifecycle.</w:t>
      </w:r>
    </w:p>
    <w:p>
      <w:pPr>
        <w:pStyle w:val="ListBullet"/>
      </w:pPr>
      <w:r>
        <w:t>If future business requirements require cancellation, withdrawal, expiry or rejection, that must be introduced through a new governed decision rather than inferred.</w:t>
      </w:r>
    </w:p>
    <w:p>
      <w:pPr>
        <w:pStyle w:val="Heading1"/>
      </w:pPr>
      <w:r>
        <w:t>6. Step 05 Consolidated Logical Model</w:t>
      </w:r>
    </w:p>
    <w:p>
      <w:r>
        <w:t>Learning Session</w:t>
      </w:r>
    </w:p>
    <w:p>
      <w:r>
        <w:t xml:space="preserve">  ├── Session Enrollment</w:t>
      </w:r>
    </w:p>
    <w:p>
      <w:r>
        <w:t xml:space="preserve">  │      └── PENDING → ACTIVE → COMPLETED</w:t>
      </w:r>
    </w:p>
    <w:p>
      <w:r>
        <w:t xml:space="preserve">  ├── Provider Binding</w:t>
      </w:r>
    </w:p>
    <w:p>
      <w:r>
        <w:t xml:space="preserve">  │      └── Participation Evidence</w:t>
      </w:r>
    </w:p>
    <w:p>
      <w:r>
        <w:t xml:space="preserve">  │             └── Attendance Evaluation</w:t>
      </w:r>
    </w:p>
    <w:p>
      <w:r>
        <w:t xml:space="preserve">  │                    └── Completion Outcome</w:t>
      </w:r>
    </w:p>
    <w:p>
      <w:r>
        <w:t xml:space="preserve">  ├── Session Artifact / Recording</w:t>
      </w:r>
    </w:p>
    <w:p>
      <w:r>
        <w:t xml:space="preserve">  └── Workspace / Visibility / Access Context</w:t>
      </w:r>
    </w:p>
    <w:p>
      <w:r>
        <w:t>Commercial/Payment ── entitlement outcome ──→ enrollment activation</w:t>
      </w:r>
    </w:p>
    <w:p>
      <w:r>
        <w:t>Completion Outcome ── qualifying handoff ──→ Learning Activity ──→ Learning Economy</w:t>
      </w:r>
    </w:p>
    <w:p>
      <w:pPr>
        <w:pStyle w:val="Heading1"/>
      </w:pPr>
      <w:r>
        <w:t>7. Remaining Open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Item</w:t>
            </w:r>
          </w:p>
        </w:tc>
        <w:tc>
          <w:tcPr>
            <w:tcW w:type="dxa" w:w="2556"/>
          </w:tcPr>
          <w:p>
            <w:r>
              <w:t>Gap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Next stage</w:t>
            </w:r>
          </w:p>
        </w:tc>
      </w:tr>
      <w:tr>
        <w:tc>
          <w:tcPr>
            <w:tcW w:type="dxa" w:w="2556"/>
          </w:tcPr>
          <w:p>
            <w:r>
              <w:t>AEP4-OD-08</w:t>
            </w:r>
          </w:p>
        </w:tc>
        <w:tc>
          <w:tcPr>
            <w:tcW w:type="dxa" w:w="2556"/>
          </w:tcPr>
          <w:p>
            <w:r>
              <w:t>Automatic provider failover</w:t>
            </w:r>
          </w:p>
        </w:tc>
        <w:tc>
          <w:tcPr>
            <w:tcW w:type="dxa" w:w="2556"/>
          </w:tcPr>
          <w:p>
            <w:r>
              <w:t>OPEN / DEFERRED</w:t>
            </w:r>
          </w:p>
        </w:tc>
        <w:tc>
          <w:tcPr>
            <w:tcW w:type="dxa" w:w="2556"/>
          </w:tcPr>
          <w:p>
            <w:r>
              <w:t>Provider capability and technical/operational verification.</w:t>
            </w:r>
          </w:p>
        </w:tc>
      </w:tr>
      <w:tr>
        <w:tc>
          <w:tcPr>
            <w:tcW w:type="dxa" w:w="2556"/>
          </w:tcPr>
          <w:p>
            <w:r>
              <w:t>Attendance policy</w:t>
            </w:r>
          </w:p>
        </w:tc>
        <w:tc>
          <w:tcPr>
            <w:tcW w:type="dxa" w:w="2556"/>
          </w:tcPr>
          <w:p>
            <w:r>
              <w:t>Formula, threshold and exceptions</w:t>
            </w:r>
          </w:p>
        </w:tc>
        <w:tc>
          <w:tcPr>
            <w:tcW w:type="dxa" w:w="2556"/>
          </w:tcPr>
          <w:p>
            <w:r>
              <w:t>OPEN</w:t>
            </w:r>
          </w:p>
        </w:tc>
        <w:tc>
          <w:tcPr>
            <w:tcW w:type="dxa" w:w="2556"/>
          </w:tcPr>
          <w:p>
            <w:r>
              <w:t>Business Rule / Configuration.</w:t>
            </w:r>
          </w:p>
        </w:tc>
      </w:tr>
      <w:tr>
        <w:tc>
          <w:tcPr>
            <w:tcW w:type="dxa" w:w="2556"/>
          </w:tcPr>
          <w:p>
            <w:r>
              <w:t>Capacity</w:t>
            </w:r>
          </w:p>
        </w:tc>
        <w:tc>
          <w:tcPr>
            <w:tcW w:type="dxa" w:w="2556"/>
          </w:tcPr>
          <w:p>
            <w:r>
              <w:t>Maximum participant count</w:t>
            </w:r>
          </w:p>
        </w:tc>
        <w:tc>
          <w:tcPr>
            <w:tcW w:type="dxa" w:w="2556"/>
          </w:tcPr>
          <w:p>
            <w:r>
              <w:t>OPEN</w:t>
            </w:r>
          </w:p>
        </w:tc>
        <w:tc>
          <w:tcPr>
            <w:tcW w:type="dxa" w:w="2556"/>
          </w:tcPr>
          <w:p>
            <w:r>
              <w:t>Evidence/business/provider verification.</w:t>
            </w:r>
          </w:p>
        </w:tc>
      </w:tr>
      <w:tr>
        <w:tc>
          <w:tcPr>
            <w:tcW w:type="dxa" w:w="2556"/>
          </w:tcPr>
          <w:p>
            <w:r>
              <w:t>Visibility taxonomy</w:t>
            </w:r>
          </w:p>
        </w:tc>
        <w:tc>
          <w:tcPr>
            <w:tcW w:type="dxa" w:w="2556"/>
          </w:tcPr>
          <w:p>
            <w:r>
              <w:t>Final visibility values</w:t>
            </w:r>
          </w:p>
        </w:tc>
        <w:tc>
          <w:tcPr>
            <w:tcW w:type="dxa" w:w="2556"/>
          </w:tcPr>
          <w:p>
            <w:r>
              <w:t>OPEN</w:t>
            </w:r>
          </w:p>
        </w:tc>
        <w:tc>
          <w:tcPr>
            <w:tcW w:type="dxa" w:w="2556"/>
          </w:tcPr>
          <w:p>
            <w:r>
              <w:t>Downstream design.</w:t>
            </w:r>
          </w:p>
        </w:tc>
      </w:tr>
      <w:tr>
        <w:tc>
          <w:tcPr>
            <w:tcW w:type="dxa" w:w="2556"/>
          </w:tcPr>
          <w:p>
            <w:r>
              <w:t>Provider integration</w:t>
            </w:r>
          </w:p>
        </w:tc>
        <w:tc>
          <w:tcPr>
            <w:tcW w:type="dxa" w:w="2556"/>
          </w:tcPr>
          <w:p>
            <w:r>
              <w:t>API/OAuth/event contracts</w:t>
            </w:r>
          </w:p>
        </w:tc>
        <w:tc>
          <w:tcPr>
            <w:tcW w:type="dxa" w:w="2556"/>
          </w:tcPr>
          <w:p>
            <w:r>
              <w:t>OPEN</w:t>
            </w:r>
          </w:p>
        </w:tc>
        <w:tc>
          <w:tcPr>
            <w:tcW w:type="dxa" w:w="2556"/>
          </w:tcPr>
          <w:p>
            <w:r>
              <w:t>Provider verification.</w:t>
            </w:r>
          </w:p>
        </w:tc>
      </w:tr>
      <w:tr>
        <w:tc>
          <w:tcPr>
            <w:tcW w:type="dxa" w:w="2556"/>
          </w:tcPr>
          <w:p>
            <w:r>
              <w:t>Recording policy</w:t>
            </w:r>
          </w:p>
        </w:tc>
        <w:tc>
          <w:tcPr>
            <w:tcW w:type="dxa" w:w="2556"/>
          </w:tcPr>
          <w:p>
            <w:r>
              <w:t>Retention/privacy/replay/transcript</w:t>
            </w:r>
          </w:p>
        </w:tc>
        <w:tc>
          <w:tcPr>
            <w:tcW w:type="dxa" w:w="2556"/>
          </w:tcPr>
          <w:p>
            <w:r>
              <w:t>OPEN</w:t>
            </w:r>
          </w:p>
        </w:tc>
        <w:tc>
          <w:tcPr>
            <w:tcW w:type="dxa" w:w="2556"/>
          </w:tcPr>
          <w:p>
            <w:r>
              <w:t>Media design.</w:t>
            </w:r>
          </w:p>
        </w:tc>
      </w:tr>
      <w:tr>
        <w:tc>
          <w:tcPr>
            <w:tcW w:type="dxa" w:w="2556"/>
          </w:tcPr>
          <w:p>
            <w:r>
              <w:t>RBAC</w:t>
            </w:r>
          </w:p>
        </w:tc>
        <w:tc>
          <w:tcPr>
            <w:tcW w:type="dxa" w:w="2556"/>
          </w:tcPr>
          <w:p>
            <w:r>
              <w:t>Exact permissions and actors</w:t>
            </w:r>
          </w:p>
        </w:tc>
        <w:tc>
          <w:tcPr>
            <w:tcW w:type="dxa" w:w="2556"/>
          </w:tcPr>
          <w:p>
            <w:r>
              <w:t>OPEN</w:t>
            </w:r>
          </w:p>
        </w:tc>
        <w:tc>
          <w:tcPr>
            <w:tcW w:type="dxa" w:w="2556"/>
          </w:tcPr>
          <w:p>
            <w:r>
              <w:t>Authorization reconciliation.</w:t>
            </w:r>
          </w:p>
        </w:tc>
      </w:tr>
      <w:tr>
        <w:tc>
          <w:tcPr>
            <w:tcW w:type="dxa" w:w="2556"/>
          </w:tcPr>
          <w:p>
            <w:r>
              <w:t>MADCR-049</w:t>
            </w:r>
          </w:p>
        </w:tc>
        <w:tc>
          <w:tcPr>
            <w:tcW w:type="dxa" w:w="2556"/>
          </w:tcPr>
          <w:p>
            <w:r>
              <w:t>Learning Activity evidence model</w:t>
            </w:r>
          </w:p>
        </w:tc>
        <w:tc>
          <w:tcPr>
            <w:tcW w:type="dxa" w:w="2556"/>
          </w:tcPr>
          <w:p>
            <w:r>
              <w:t>OPEN / RE-EVALUATION</w:t>
            </w:r>
          </w:p>
        </w:tc>
        <w:tc>
          <w:tcPr>
            <w:tcW w:type="dxa" w:w="2556"/>
          </w:tcPr>
          <w:p>
            <w:r>
              <w:t>Independent governance residual.</w:t>
            </w:r>
          </w:p>
        </w:tc>
      </w:tr>
    </w:tbl>
    <w:p>
      <w:pPr>
        <w:pStyle w:val="Heading1"/>
      </w:pPr>
      <w:r>
        <w:t>8. Next Step</w:t>
      </w:r>
    </w:p>
    <w:p>
      <w:r>
        <w:t>The enrollment lifecycle semantic is now locked. The next controlled step is to reconcile the logical entity/relationship model against existing project Learning documents and then produce the ERD-level impact. Physical schema, API contracts and RBAC remain deferred.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