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06 — ERD / Logical Reconciliation</w:t>
      </w:r>
    </w:p>
    <w:p>
      <w:pPr>
        <w:jc w:val="center"/>
      </w:pPr>
      <w:r>
        <w:rPr>
          <w:i/>
        </w:rPr>
        <w:t>Version 1.0 | Evidence-backed current baseline | No physical migration authorized</w:t>
      </w:r>
    </w:p>
    <w:p>
      <w:pPr>
        <w:pStyle w:val="Heading1"/>
      </w:pPr>
      <w:r>
        <w:t>1. Current Baseline Evidence</w:t>
      </w:r>
    </w:p>
    <w:p>
      <w:r>
        <w:t>The exact current downstream artifacts were located inside the project archive RUMAHAGEN-dokumen-updated (2).zip and inspected for this step: ERD-Skema-Database-RUMAHAGEN-v1_4-FINAL.md, 0009_m04_learning_center-FIXED.sql, 0010_m05_events-FIXED.sql, API-Specification-RUMAHAGEN-v1_3-FINAL-FIXED.md, Authorization-Access-Control-Specification-v1_1-FINAL.md, PRD-RUMAHAGEN-v1_3-FINAL.md, and User-Flow-RUMAHAGEN-v1_2-FINAL.md.</w:t>
      </w:r>
    </w:p>
    <w:p>
      <w:r>
        <w:t>The current ERD contains M04 Course/CourseLesson/Quiz/Enrollment/QuizAttempt/Certificate and M05 Event/EventRegistration. The current PRD defines self-enrollment into free courses and live/webinar sessions surfaced through the Event Calendar. The API exposes course enrollment and event RSVP endpoints, but no dedicated Learning Session provider/session contract was found in the inspected current API sections.</w:t>
      </w:r>
    </w:p>
    <w:p>
      <w:pPr>
        <w:pStyle w:val="Heading1"/>
      </w:pPr>
      <w:r>
        <w:t>2. Gate Result</w:t>
      </w:r>
    </w:p>
    <w:p>
      <w:r>
        <w:t>PASS WITH CONTROLLED LOGICAL DELTAS.</w:t>
      </w:r>
    </w:p>
    <w:p>
      <w:r>
        <w:t>Unlike earlier evidence-only reviews, the exact current ERD and related M04/M05 implementation artifacts are now available from the project archive. The reconciliation therefore can make entity/relationship-level logical classifications. It still does not authorize physical schema changes, SQL migration, final API contracts, provider integration, or RBAC IDs.</w:t>
      </w:r>
    </w:p>
    <w:p>
      <w:pPr>
        <w:pStyle w:val="Heading1"/>
      </w:pPr>
      <w:r>
        <w:t>3. ERD Logical Impact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Current / Target Concept</w:t>
            </w:r>
          </w:p>
        </w:tc>
        <w:tc>
          <w:tcPr>
            <w:tcW w:type="dxa" w:w="3456"/>
          </w:tcPr>
          <w:p>
            <w:r>
              <w:t>Classification</w:t>
            </w:r>
          </w:p>
        </w:tc>
        <w:tc>
          <w:tcPr>
            <w:tcW w:type="dxa" w:w="3456"/>
          </w:tcPr>
          <w:p>
            <w:r>
              <w:t>Reconciliation</w:t>
            </w:r>
          </w:p>
        </w:tc>
      </w:tr>
      <w:tr>
        <w:tc>
          <w:tcPr>
            <w:tcW w:type="dxa" w:w="3456"/>
          </w:tcPr>
          <w:p>
            <w:r>
              <w:t>M04 Course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Existing course remains the learning container; live sessions can reference a course.</w:t>
            </w:r>
          </w:p>
        </w:tc>
      </w:tr>
      <w:tr>
        <w:tc>
          <w:tcPr>
            <w:tcW w:type="dxa" w:w="3456"/>
          </w:tcPr>
          <w:p>
            <w:r>
              <w:t>M04 Enrollment</w:t>
            </w:r>
          </w:p>
        </w:tc>
        <w:tc>
          <w:tcPr>
            <w:tcW w:type="dxa" w:w="3456"/>
          </w:tcPr>
          <w:p>
            <w:r>
              <w:t>KEEP / ISOLATE</w:t>
            </w:r>
          </w:p>
        </w:tc>
        <w:tc>
          <w:tcPr>
            <w:tcW w:type="dxa" w:w="3456"/>
          </w:tcPr>
          <w:p>
            <w:r>
              <w:t>Existing enrollments are Course Enrollment (agent ↔ course), status in_progress/completed. Do not repurpose as Session Enrollment.</w:t>
            </w:r>
          </w:p>
        </w:tc>
      </w:tr>
      <w:tr>
        <w:tc>
          <w:tcPr>
            <w:tcW w:type="dxa" w:w="3456"/>
          </w:tcPr>
          <w:p>
            <w:r>
              <w:t>M04 Quiz / Attempt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Assessment evidence remains separate; session completion must not replace assessment.</w:t>
            </w:r>
          </w:p>
        </w:tc>
      </w:tr>
      <w:tr>
        <w:tc>
          <w:tcPr>
            <w:tcW w:type="dxa" w:w="3456"/>
          </w:tcPr>
          <w:p>
            <w:r>
              <w:t>M04 Certificate</w:t>
            </w:r>
          </w:p>
        </w:tc>
        <w:tc>
          <w:tcPr>
            <w:tcW w:type="dxa" w:w="3456"/>
          </w:tcPr>
          <w:p>
            <w:r>
              <w:t>KEEP / ISOLATE</w:t>
            </w:r>
          </w:p>
        </w:tc>
        <w:tc>
          <w:tcPr>
            <w:tcW w:type="dxa" w:w="3456"/>
          </w:tcPr>
          <w:p>
            <w:r>
              <w:t>Existing certificate remains M04 Learning credential; must not become Award Instance.</w:t>
            </w:r>
          </w:p>
        </w:tc>
      </w:tr>
      <w:tr>
        <w:tc>
          <w:tcPr>
            <w:tcW w:type="dxa" w:w="3456"/>
          </w:tcPr>
          <w:p>
            <w:r>
              <w:t>M05 Event</w:t>
            </w:r>
          </w:p>
        </w:tc>
        <w:tc>
          <w:tcPr>
            <w:tcW w:type="dxa" w:w="3456"/>
          </w:tcPr>
          <w:p>
            <w:r>
              <w:t>KEEP / INTEGRATE</w:t>
            </w:r>
          </w:p>
        </w:tc>
        <w:tc>
          <w:tcPr>
            <w:tcW w:type="dxa" w:w="3456"/>
          </w:tcPr>
          <w:p>
            <w:r>
              <w:t>Generic calendar/event remains. A Learning Session may be surfaced/scheduled through the event calendar without making Event the session authority.</w:t>
            </w:r>
          </w:p>
        </w:tc>
      </w:tr>
      <w:tr>
        <w:tc>
          <w:tcPr>
            <w:tcW w:type="dxa" w:w="3456"/>
          </w:tcPr>
          <w:p>
            <w:r>
              <w:t>M05 EventRegistration</w:t>
            </w:r>
          </w:p>
        </w:tc>
        <w:tc>
          <w:tcPr>
            <w:tcW w:type="dxa" w:w="3456"/>
          </w:tcPr>
          <w:p>
            <w:r>
              <w:t>KEEP / ISOLATE</w:t>
            </w:r>
          </w:p>
        </w:tc>
        <w:tc>
          <w:tcPr>
            <w:tcW w:type="dxa" w:w="3456"/>
          </w:tcPr>
          <w:p>
            <w:r>
              <w:t>RSVP relationship is event attendance/registration context; do not repurpose as Learning Session Enrollment.</w:t>
            </w:r>
          </w:p>
        </w:tc>
      </w:tr>
      <w:tr>
        <w:tc>
          <w:tcPr>
            <w:tcW w:type="dxa" w:w="3456"/>
          </w:tcPr>
          <w:p>
            <w:r>
              <w:t>M05 meeting_link</w:t>
            </w:r>
          </w:p>
        </w:tc>
        <w:tc>
          <w:tcPr>
            <w:tcW w:type="dxa" w:w="3456"/>
          </w:tcPr>
          <w:p>
            <w:r>
              <w:t>LEGACY / EVOLVE</w:t>
            </w:r>
          </w:p>
        </w:tc>
        <w:tc>
          <w:tcPr>
            <w:tcW w:type="dxa" w:w="3456"/>
          </w:tcPr>
          <w:p>
            <w:r>
              <w:t>Current field is generic link storage; AEP4 requires provider adapter/provider binding semantics, so it cannot be authoritative provider identity.</w:t>
            </w:r>
          </w:p>
        </w:tc>
      </w:tr>
      <w:tr>
        <w:tc>
          <w:tcPr>
            <w:tcW w:type="dxa" w:w="3456"/>
          </w:tcPr>
          <w:p>
            <w:r>
              <w:t>M05 quota</w:t>
            </w:r>
          </w:p>
        </w:tc>
        <w:tc>
          <w:tcPr>
            <w:tcW w:type="dxa" w:w="3456"/>
          </w:tcPr>
          <w:p>
            <w:r>
              <w:t>KEEP / OPEN</w:t>
            </w:r>
          </w:p>
        </w:tc>
        <w:tc>
          <w:tcPr>
            <w:tcW w:type="dxa" w:w="3456"/>
          </w:tcPr>
          <w:p>
            <w:r>
              <w:t>Event quota exists, but AEP4 session capacity policy is still open; do not treat current quota as canonical session capacity.</w:t>
            </w:r>
          </w:p>
        </w:tc>
      </w:tr>
      <w:tr>
        <w:tc>
          <w:tcPr>
            <w:tcW w:type="dxa" w:w="3456"/>
          </w:tcPr>
          <w:p>
            <w:r>
              <w:t>Organization</w:t>
            </w:r>
          </w:p>
        </w:tc>
        <w:tc>
          <w:tcPr>
            <w:tcW w:type="dxa" w:w="3456"/>
          </w:tcPr>
          <w:p>
            <w:r>
              <w:t>EVOLVE / INTEGRATE</w:t>
            </w:r>
          </w:p>
        </w:tc>
        <w:tc>
          <w:tcPr>
            <w:tcW w:type="dxa" w:w="3456"/>
          </w:tcPr>
          <w:p>
            <w:r>
              <w:t>Existing organization context can support session workspace context; exact session relationship/cardinality remains downstream.</w:t>
            </w:r>
          </w:p>
        </w:tc>
      </w:tr>
      <w:tr>
        <w:tc>
          <w:tcPr>
            <w:tcW w:type="dxa" w:w="3456"/>
          </w:tcPr>
          <w:p>
            <w:r>
              <w:t>Audit Logs</w:t>
            </w:r>
          </w:p>
        </w:tc>
        <w:tc>
          <w:tcPr>
            <w:tcW w:type="dxa" w:w="3456"/>
          </w:tcPr>
          <w:p>
            <w:r>
              <w:t>EVOLVE</w:t>
            </w:r>
          </w:p>
        </w:tc>
        <w:tc>
          <w:tcPr>
            <w:tcW w:type="dxa" w:w="3456"/>
          </w:tcPr>
          <w:p>
            <w:r>
              <w:t>Existing audit_logs can carry session/provenance events; no parallel audit authority should be created.</w:t>
            </w:r>
          </w:p>
        </w:tc>
      </w:tr>
      <w:tr>
        <w:tc>
          <w:tcPr>
            <w:tcW w:type="dxa" w:w="3456"/>
          </w:tcPr>
          <w:p>
            <w:r>
              <w:t>Notifications</w:t>
            </w:r>
          </w:p>
        </w:tc>
        <w:tc>
          <w:tcPr>
            <w:tcW w:type="dxa" w:w="3456"/>
          </w:tcPr>
          <w:p>
            <w:r>
              <w:t>EVOLVE</w:t>
            </w:r>
          </w:p>
        </w:tc>
        <w:tc>
          <w:tcPr>
            <w:tcW w:type="dxa" w:w="3456"/>
          </w:tcPr>
          <w:p>
            <w:r>
              <w:t>Existing notification capability can consume session reminders/status events; exact notification contract downstream.</w:t>
            </w:r>
          </w:p>
        </w:tc>
      </w:tr>
      <w:tr>
        <w:tc>
          <w:tcPr>
            <w:tcW w:type="dxa" w:w="3456"/>
          </w:tcPr>
          <w:p>
            <w:r>
              <w:t>New Learning Session</w:t>
            </w:r>
          </w:p>
        </w:tc>
        <w:tc>
          <w:tcPr>
            <w:tcW w:type="dxa" w:w="3456"/>
          </w:tcPr>
          <w:p>
            <w:r>
              <w:t>NEW</w:t>
            </w:r>
          </w:p>
        </w:tc>
        <w:tc>
          <w:tcPr>
            <w:tcW w:type="dxa" w:w="3456"/>
          </w:tcPr>
          <w:p>
            <w:r>
              <w:t>Required logical capability/entity for semantic session identity/lifecycle/provider binding.</w:t>
            </w:r>
          </w:p>
        </w:tc>
      </w:tr>
      <w:tr>
        <w:tc>
          <w:tcPr>
            <w:tcW w:type="dxa" w:w="3456"/>
          </w:tcPr>
          <w:p>
            <w:r>
              <w:t>New Session Enrollment</w:t>
            </w:r>
          </w:p>
        </w:tc>
        <w:tc>
          <w:tcPr>
            <w:tcW w:type="dxa" w:w="3456"/>
          </w:tcPr>
          <w:p>
            <w:r>
              <w:t>NEW</w:t>
            </w:r>
          </w:p>
        </w:tc>
        <w:tc>
          <w:tcPr>
            <w:tcW w:type="dxa" w:w="3456"/>
          </w:tcPr>
          <w:p>
            <w:r>
              <w:t>Required logical relationship with PENDING → ACTIVE → COMPLETED; distinct from Course Enrollment and EventRegistration.</w:t>
            </w:r>
          </w:p>
        </w:tc>
      </w:tr>
      <w:tr>
        <w:tc>
          <w:tcPr>
            <w:tcW w:type="dxa" w:w="3456"/>
          </w:tcPr>
          <w:p>
            <w:r>
              <w:t>New Provider Binding</w:t>
            </w:r>
          </w:p>
        </w:tc>
        <w:tc>
          <w:tcPr>
            <w:tcW w:type="dxa" w:w="3456"/>
          </w:tcPr>
          <w:p>
            <w:r>
              <w:t>NEW</w:t>
            </w:r>
          </w:p>
        </w:tc>
        <w:tc>
          <w:tcPr>
            <w:tcW w:type="dxa" w:w="3456"/>
          </w:tcPr>
          <w:p>
            <w:r>
              <w:t>Required provider execution association behind adapter boundary.</w:t>
            </w:r>
          </w:p>
        </w:tc>
      </w:tr>
      <w:tr>
        <w:tc>
          <w:tcPr>
            <w:tcW w:type="dxa" w:w="3456"/>
          </w:tcPr>
          <w:p>
            <w:r>
              <w:t>New Participation Evidence</w:t>
            </w:r>
          </w:p>
        </w:tc>
        <w:tc>
          <w:tcPr>
            <w:tcW w:type="dxa" w:w="3456"/>
          </w:tcPr>
          <w:p>
            <w:r>
              <w:t>NEW</w:t>
            </w:r>
          </w:p>
        </w:tc>
        <w:tc>
          <w:tcPr>
            <w:tcW w:type="dxa" w:w="3456"/>
          </w:tcPr>
          <w:p>
            <w:r>
              <w:t>Required normalized provider evidence before attendance evaluation.</w:t>
            </w:r>
          </w:p>
        </w:tc>
      </w:tr>
      <w:tr>
        <w:tc>
          <w:tcPr>
            <w:tcW w:type="dxa" w:w="3456"/>
          </w:tcPr>
          <w:p>
            <w:r>
              <w:t>New Attendance Evaluation</w:t>
            </w:r>
          </w:p>
        </w:tc>
        <w:tc>
          <w:tcPr>
            <w:tcW w:type="dxa" w:w="3456"/>
          </w:tcPr>
          <w:p>
            <w:r>
              <w:t>NEW / EVOLVE</w:t>
            </w:r>
          </w:p>
        </w:tc>
        <w:tc>
          <w:tcPr>
            <w:tcW w:type="dxa" w:w="3456"/>
          </w:tcPr>
          <w:p>
            <w:r>
              <w:t>Required governed attendance outcome; exact formula/threshold remains open.</w:t>
            </w:r>
          </w:p>
        </w:tc>
      </w:tr>
      <w:tr>
        <w:tc>
          <w:tcPr>
            <w:tcW w:type="dxa" w:w="3456"/>
          </w:tcPr>
          <w:p>
            <w:r>
              <w:t>New Completion Outcome</w:t>
            </w:r>
          </w:p>
        </w:tc>
        <w:tc>
          <w:tcPr>
            <w:tcW w:type="dxa" w:w="3456"/>
          </w:tcPr>
          <w:p>
            <w:r>
              <w:t>NEW / EVOLVE</w:t>
            </w:r>
          </w:p>
        </w:tc>
        <w:tc>
          <w:tcPr>
            <w:tcW w:type="dxa" w:w="3456"/>
          </w:tcPr>
          <w:p>
            <w:r>
              <w:t>Required governed session completion outcome feeding Learning Activity; exact final evidence model remains conditional on MADCR-049.</w:t>
            </w:r>
          </w:p>
        </w:tc>
      </w:tr>
      <w:tr>
        <w:tc>
          <w:tcPr>
            <w:tcW w:type="dxa" w:w="3456"/>
          </w:tcPr>
          <w:p>
            <w:r>
              <w:t>Session Artifact/Recording</w:t>
            </w:r>
          </w:p>
        </w:tc>
        <w:tc>
          <w:tcPr>
            <w:tcW w:type="dxa" w:w="3456"/>
          </w:tcPr>
          <w:p>
            <w:r>
              <w:t>NEW / EVOLVE</w:t>
            </w:r>
          </w:p>
        </w:tc>
        <w:tc>
          <w:tcPr>
            <w:tcW w:type="dxa" w:w="3456"/>
          </w:tcPr>
          <w:p>
            <w:r>
              <w:t>Optional recording/reference; storage/retention/privacy remain open.</w:t>
            </w:r>
          </w:p>
        </w:tc>
      </w:tr>
    </w:tbl>
    <w:p>
      <w:pPr>
        <w:pStyle w:val="Heading1"/>
      </w:pPr>
      <w:r>
        <w:t>4. Critical Findings</w:t>
      </w:r>
    </w:p>
    <w:p>
      <w:pPr>
        <w:pStyle w:val="ListNumber"/>
      </w:pPr>
      <w:r>
        <w:t>1) Existing M04 `enrollments` is Course Enrollment, not Learning Session Enrollment. Its current status is `in_progress`/`completed` and its unique key is (agent_id, course_id). It must NOT be repurposed to represent AEP4 Session Enrollment.</w:t>
      </w:r>
    </w:p>
    <w:p>
      <w:pPr>
        <w:pStyle w:val="ListNumber"/>
      </w:pPr>
      <w:r>
        <w:t>2) Existing M05 `event_registrations` is Event RSVP/registration. Its status values (`registered`, `waitlist`, `attended`, `cancelled`) represent event context and must NOT become the authoritative AEP4 enrollment lifecycle.</w:t>
      </w:r>
    </w:p>
    <w:p>
      <w:pPr>
        <w:pStyle w:val="ListNumber"/>
      </w:pPr>
      <w:r>
        <w:t>3) Existing M05 `events` is a generic calendar/event entity. AEP4 Learning Session should integrate with the calendar rather than silently turn `events` into the Learning Session authority.</w:t>
      </w:r>
    </w:p>
    <w:p>
      <w:pPr>
        <w:pStyle w:val="ListNumber"/>
      </w:pPr>
      <w:r>
        <w:t>4) Existing `meeting_link` is a generic URL field. Under AEP4 provider abstraction it cannot be treated as the provider identity or as sufficient provider binding.</w:t>
      </w:r>
    </w:p>
    <w:p>
      <w:pPr>
        <w:pStyle w:val="ListNumber"/>
      </w:pPr>
      <w:r>
        <w:t>5) Existing `quota` is a generic event capacity field. AEP4 capacity remains explicitly open; no current value or field is promoted to the canonical session-capacity rule.</w:t>
      </w:r>
    </w:p>
    <w:p>
      <w:pPr>
        <w:pStyle w:val="ListNumber"/>
      </w:pPr>
      <w:r>
        <w:t>6) Existing M04 Certificate remains a Learning credential and must stay distinct from Award Instance under MADCR-046.</w:t>
      </w:r>
    </w:p>
    <w:p>
      <w:pPr>
        <w:pStyle w:val="ListNumber"/>
      </w:pPr>
      <w:r>
        <w:t>7) Existing Organization entities can provide the context required by AEP4 Workspace/Organization semantics, but the exact Session↔Organization cardinality is not yet locked.</w:t>
      </w:r>
    </w:p>
    <w:p>
      <w:pPr>
        <w:pStyle w:val="ListNumber"/>
      </w:pPr>
      <w:r>
        <w:t>8) Existing audit_logs and notification capabilities can be evolved/reused; AEP4 does not require parallel audit or notification authorities.</w:t>
      </w:r>
    </w:p>
    <w:p>
      <w:pPr>
        <w:pStyle w:val="Heading1"/>
      </w:pPr>
      <w:r>
        <w:t>5. Target Logical Delta</w:t>
      </w:r>
    </w:p>
    <w:p>
      <w:pPr>
        <w:pStyle w:val="ListBullet"/>
      </w:pPr>
      <w:r>
        <w:t>NEW — Learning Session</w:t>
      </w:r>
    </w:p>
    <w:p>
      <w:pPr>
        <w:pStyle w:val="ListBullet"/>
      </w:pPr>
      <w:r>
        <w:t>NEW — Session Enrollment</w:t>
      </w:r>
    </w:p>
    <w:p>
      <w:pPr>
        <w:pStyle w:val="ListBullet"/>
      </w:pPr>
      <w:r>
        <w:t>NEW — Provider Binding</w:t>
      </w:r>
    </w:p>
    <w:p>
      <w:pPr>
        <w:pStyle w:val="ListBullet"/>
      </w:pPr>
      <w:r>
        <w:t>NEW — Participation Evidence</w:t>
      </w:r>
    </w:p>
    <w:p>
      <w:pPr>
        <w:pStyle w:val="ListBullet"/>
      </w:pPr>
      <w:r>
        <w:t>NEW/EVOLVE — Attendance Evaluation</w:t>
      </w:r>
    </w:p>
    <w:p>
      <w:pPr>
        <w:pStyle w:val="ListBullet"/>
      </w:pPr>
      <w:r>
        <w:t>NEW/EVOLVE — Completion Outcome</w:t>
      </w:r>
    </w:p>
    <w:p>
      <w:pPr>
        <w:pStyle w:val="ListBullet"/>
      </w:pPr>
      <w:r>
        <w:t>NEW/EVOLVE — Session Artifact / Recording</w:t>
      </w:r>
    </w:p>
    <w:p>
      <w:pPr>
        <w:pStyle w:val="ListBullet"/>
      </w:pPr>
      <w:r>
        <w:t>EVOLVE — Course ↔ Learning Session integration</w:t>
      </w:r>
    </w:p>
    <w:p>
      <w:pPr>
        <w:pStyle w:val="ListBullet"/>
      </w:pPr>
      <w:r>
        <w:t>EVOLVE — Event Calendar ↔ Learning Session integration</w:t>
      </w:r>
    </w:p>
    <w:p>
      <w:pPr>
        <w:pStyle w:val="ListBullet"/>
      </w:pPr>
      <w:r>
        <w:t>EVOLVE — Organization / Workspace context</w:t>
      </w:r>
    </w:p>
    <w:p>
      <w:pPr>
        <w:pStyle w:val="ListBullet"/>
      </w:pPr>
      <w:r>
        <w:t>EVOLVE — Audit / Notification integration</w:t>
      </w:r>
    </w:p>
    <w:p>
      <w:pPr>
        <w:pStyle w:val="Heading1"/>
      </w:pPr>
      <w:r>
        <w:t>6. Canonical Flow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Flow</w:t>
            </w:r>
          </w:p>
        </w:tc>
        <w:tc>
          <w:tcPr>
            <w:tcW w:type="dxa" w:w="3456"/>
          </w:tcPr>
          <w:p>
            <w:r>
              <w:t>Current baseline / target</w:t>
            </w:r>
          </w:p>
        </w:tc>
        <w:tc>
          <w:tcPr>
            <w:tcW w:type="dxa" w:w="3456"/>
          </w:tcPr>
          <w:p>
            <w:r>
              <w:t>Governance result</w:t>
            </w:r>
          </w:p>
        </w:tc>
      </w:tr>
      <w:tr>
        <w:tc>
          <w:tcPr>
            <w:tcW w:type="dxa" w:w="3456"/>
          </w:tcPr>
          <w:p>
            <w:r>
              <w:t>Course enrollment</w:t>
            </w:r>
          </w:p>
        </w:tc>
        <w:tc>
          <w:tcPr>
            <w:tcW w:type="dxa" w:w="3456"/>
          </w:tcPr>
          <w:p>
            <w:r>
              <w:t>Agent → POST /courses/{id}/enroll → M04 Enrollment</w:t>
            </w:r>
          </w:p>
        </w:tc>
        <w:tc>
          <w:tcPr>
            <w:tcW w:type="dxa" w:w="3456"/>
          </w:tcPr>
          <w:p>
            <w:r>
              <w:t>Existing course enrollment remains unchanged.</w:t>
            </w:r>
          </w:p>
        </w:tc>
      </w:tr>
      <w:tr>
        <w:tc>
          <w:tcPr>
            <w:tcW w:type="dxa" w:w="3456"/>
          </w:tcPr>
          <w:p>
            <w:r>
              <w:t>Session discovery</w:t>
            </w:r>
          </w:p>
        </w:tc>
        <w:tc>
          <w:tcPr>
            <w:tcW w:type="dxa" w:w="3456"/>
          </w:tcPr>
          <w:p>
            <w:r>
              <w:t>Course / Calendar Event → Learning Session</w:t>
            </w:r>
          </w:p>
        </w:tc>
        <w:tc>
          <w:tcPr>
            <w:tcW w:type="dxa" w:w="3456"/>
          </w:tcPr>
          <w:p>
            <w:r>
              <w:t>Session is a distinct semantic capability; calendar is presentation/discovery context.</w:t>
            </w:r>
          </w:p>
        </w:tc>
      </w:tr>
      <w:tr>
        <w:tc>
          <w:tcPr>
            <w:tcW w:type="dxa" w:w="3456"/>
          </w:tcPr>
          <w:p>
            <w:r>
              <w:t>Session enrollment</w:t>
            </w:r>
          </w:p>
        </w:tc>
        <w:tc>
          <w:tcPr>
            <w:tcW w:type="dxa" w:w="3456"/>
          </w:tcPr>
          <w:p>
            <w:r>
              <w:t>Learner → Session Enrollment → PENDING → ACTIVE</w:t>
            </w:r>
          </w:p>
        </w:tc>
        <w:tc>
          <w:tcPr>
            <w:tcW w:type="dxa" w:w="3456"/>
          </w:tcPr>
          <w:p>
            <w:r>
              <w:t>Activation depends on applicable entitlement/authorization; payment is not itself the definition of ACTIVE.</w:t>
            </w:r>
          </w:p>
        </w:tc>
      </w:tr>
      <w:tr>
        <w:tc>
          <w:tcPr>
            <w:tcW w:type="dxa" w:w="3456"/>
          </w:tcPr>
          <w:p>
            <w:r>
              <w:t>Live execution</w:t>
            </w:r>
          </w:p>
        </w:tc>
        <w:tc>
          <w:tcPr>
            <w:tcW w:type="dxa" w:w="3456"/>
          </w:tcPr>
          <w:p>
            <w:r>
              <w:t>Session → Provider Binding → Provider Adapter → external provider</w:t>
            </w:r>
          </w:p>
        </w:tc>
        <w:tc>
          <w:tcPr>
            <w:tcW w:type="dxa" w:w="3456"/>
          </w:tcPr>
          <w:p>
            <w:r>
              <w:t>Provider identity is infrastructure, not semantic session identity.</w:t>
            </w:r>
          </w:p>
        </w:tc>
      </w:tr>
      <w:tr>
        <w:tc>
          <w:tcPr>
            <w:tcW w:type="dxa" w:w="3456"/>
          </w:tcPr>
          <w:p>
            <w:r>
              <w:t>Evidence</w:t>
            </w:r>
          </w:p>
        </w:tc>
        <w:tc>
          <w:tcPr>
            <w:tcW w:type="dxa" w:w="3456"/>
          </w:tcPr>
          <w:p>
            <w:r>
              <w:t>Provider event → Adapter → Participation Evidence</w:t>
            </w:r>
          </w:p>
        </w:tc>
        <w:tc>
          <w:tcPr>
            <w:tcW w:type="dxa" w:w="3456"/>
          </w:tcPr>
          <w:p>
            <w:r>
              <w:t>Normalized/idempotent evidence is required.</w:t>
            </w:r>
          </w:p>
        </w:tc>
      </w:tr>
      <w:tr>
        <w:tc>
          <w:tcPr>
            <w:tcW w:type="dxa" w:w="3456"/>
          </w:tcPr>
          <w:p>
            <w:r>
              <w:t>Attendance</w:t>
            </w:r>
          </w:p>
        </w:tc>
        <w:tc>
          <w:tcPr>
            <w:tcW w:type="dxa" w:w="3456"/>
          </w:tcPr>
          <w:p>
            <w:r>
              <w:t>Evidence → Attendance Evaluation</w:t>
            </w:r>
          </w:p>
        </w:tc>
        <w:tc>
          <w:tcPr>
            <w:tcW w:type="dxa" w:w="3456"/>
          </w:tcPr>
          <w:p>
            <w:r>
              <w:t>Current event_registrations.attended is not sufficient as canonical session attendance authority.</w:t>
            </w:r>
          </w:p>
        </w:tc>
      </w:tr>
      <w:tr>
        <w:tc>
          <w:tcPr>
            <w:tcW w:type="dxa" w:w="3456"/>
          </w:tcPr>
          <w:p>
            <w:r>
              <w:t>Completion</w:t>
            </w:r>
          </w:p>
        </w:tc>
        <w:tc>
          <w:tcPr>
            <w:tcW w:type="dxa" w:w="3456"/>
          </w:tcPr>
          <w:p>
            <w:r>
              <w:t>Attendance/other governed evidence → Completion Outcome</w:t>
            </w:r>
          </w:p>
        </w:tc>
        <w:tc>
          <w:tcPr>
            <w:tcW w:type="dxa" w:w="3456"/>
          </w:tcPr>
          <w:p>
            <w:r>
              <w:t>Provider event cannot directly establish completion.</w:t>
            </w:r>
          </w:p>
        </w:tc>
      </w:tr>
      <w:tr>
        <w:tc>
          <w:tcPr>
            <w:tcW w:type="dxa" w:w="3456"/>
          </w:tcPr>
          <w:p>
            <w:r>
              <w:t>Learning outcome</w:t>
            </w:r>
          </w:p>
        </w:tc>
        <w:tc>
          <w:tcPr>
            <w:tcW w:type="dxa" w:w="3456"/>
          </w:tcPr>
          <w:p>
            <w:r>
              <w:t>Completion Outcome → Learning Activity</w:t>
            </w:r>
          </w:p>
        </w:tc>
        <w:tc>
          <w:tcPr>
            <w:tcW w:type="dxa" w:w="3456"/>
          </w:tcPr>
          <w:p>
            <w:r>
              <w:t>Learning Economy remains LP authority; MADCR-049 remains open/re-evaluation.</w:t>
            </w:r>
          </w:p>
        </w:tc>
      </w:tr>
      <w:tr>
        <w:tc>
          <w:tcPr>
            <w:tcW w:type="dxa" w:w="3456"/>
          </w:tcPr>
          <w:p>
            <w:r>
              <w:t>Calendar</w:t>
            </w:r>
          </w:p>
        </w:tc>
        <w:tc>
          <w:tcPr>
            <w:tcW w:type="dxa" w:w="3456"/>
          </w:tcPr>
          <w:p>
            <w:r>
              <w:t>Learning Session ↔ M05 Event</w:t>
            </w:r>
          </w:p>
        </w:tc>
        <w:tc>
          <w:tcPr>
            <w:tcW w:type="dxa" w:w="3456"/>
          </w:tcPr>
          <w:p>
            <w:r>
              <w:t>Integration/presentation relationship; exact ownership/link cardinality remains downstream.</w:t>
            </w:r>
          </w:p>
        </w:tc>
      </w:tr>
    </w:tbl>
    <w:p>
      <w:pPr>
        <w:pStyle w:val="Heading1"/>
      </w:pPr>
      <w:r>
        <w:t>7. Current API / RBAC Impact</w:t>
      </w:r>
    </w:p>
    <w:p>
      <w:r>
        <w:t>Current API exposes course enrollment (`POST /courses/{id}/enroll`, `GET /agents/me/enrollments`) and event RSVP (`POST /events/{id}/rsvp`). Current RBAC contains M04 Enrollment permissions. These are evidence of existing Course Enrollment/Event Registration capabilities, not evidence of the AEP4 Session Enrollment model. New Session-specific API and permission impacts remain downstream.</w:t>
      </w:r>
    </w:p>
    <w:p>
      <w:r>
        <w:t>The inspected current API also contains no dedicated provider-neutral Learning Session contract in the reviewed M04/M05 sections. Therefore AEP4 provider adapter/session APIs are a controlled NEW downstream area, not an alteration of the existing course enrollment endpoint.</w:t>
      </w:r>
    </w:p>
    <w:p>
      <w:pPr>
        <w:pStyle w:val="Heading1"/>
      </w:pPr>
      <w:r>
        <w:t>8. Open / Deferred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Next handling</w:t>
            </w:r>
          </w:p>
        </w:tc>
      </w:tr>
      <w:tr>
        <w:tc>
          <w:tcPr>
            <w:tcW w:type="dxa" w:w="2592"/>
          </w:tcPr>
          <w:p>
            <w:r>
              <w:t>AEP4-OD-08</w:t>
            </w:r>
          </w:p>
        </w:tc>
        <w:tc>
          <w:tcPr>
            <w:tcW w:type="dxa" w:w="2592"/>
          </w:tcPr>
          <w:p>
            <w:r>
              <w:t>Automatic 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Provider capability verification.</w:t>
            </w:r>
          </w:p>
        </w:tc>
      </w:tr>
      <w:tr>
        <w:tc>
          <w:tcPr>
            <w:tcW w:type="dxa" w:w="2592"/>
          </w:tcPr>
          <w:p>
            <w:r>
              <w:t>Attendance policy</w:t>
            </w:r>
          </w:p>
        </w:tc>
        <w:tc>
          <w:tcPr>
            <w:tcW w:type="dxa" w:w="2592"/>
          </w:tcPr>
          <w:p>
            <w:r>
              <w:t>Formula, minimum %, late/early/grace/override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Configuration.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Maximum participant capacity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Business/provider evidence.</w:t>
            </w:r>
          </w:p>
        </w:tc>
      </w:tr>
      <w:tr>
        <w:tc>
          <w:tcPr>
            <w:tcW w:type="dxa" w:w="2592"/>
          </w:tcPr>
          <w:p>
            <w:r>
              <w:t>Visibility taxonomy</w:t>
            </w:r>
          </w:p>
        </w:tc>
        <w:tc>
          <w:tcPr>
            <w:tcW w:type="dxa" w:w="2592"/>
          </w:tcPr>
          <w:p>
            <w:r>
              <w:t>Final values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Downstream semantic design.</w:t>
            </w:r>
          </w:p>
        </w:tc>
      </w:tr>
      <w:tr>
        <w:tc>
          <w:tcPr>
            <w:tcW w:type="dxa" w:w="2592"/>
          </w:tcPr>
          <w:p>
            <w:r>
              <w:t>Provider contract</w:t>
            </w:r>
          </w:p>
        </w:tc>
        <w:tc>
          <w:tcPr>
            <w:tcW w:type="dxa" w:w="2592"/>
          </w:tcPr>
          <w:p>
            <w:r>
              <w:t>API/OAuth/events/quotas/plans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Provider verification.</w:t>
            </w:r>
          </w:p>
        </w:tc>
      </w:tr>
      <w:tr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Retention/privacy/transcript/replay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Media design.</w:t>
            </w:r>
          </w:p>
        </w:tc>
      </w:tr>
      <w:tr>
        <w:tc>
          <w:tcPr>
            <w:tcW w:type="dxa" w:w="2592"/>
          </w:tcPr>
          <w:p>
            <w:r>
              <w:t>RBAC</w:t>
            </w:r>
          </w:p>
        </w:tc>
        <w:tc>
          <w:tcPr>
            <w:tcW w:type="dxa" w:w="2592"/>
          </w:tcPr>
          <w:p>
            <w:r>
              <w:t>Exact permissions/actor matrix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Authorization impact.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Independent governance gate.</w:t>
            </w:r>
          </w:p>
        </w:tc>
      </w:tr>
      <w:tr>
        <w:tc>
          <w:tcPr>
            <w:tcW w:type="dxa" w:w="2592"/>
          </w:tcPr>
          <w:p>
            <w:r>
              <w:t>Session↔Event relationship</w:t>
            </w:r>
          </w:p>
        </w:tc>
        <w:tc>
          <w:tcPr>
            <w:tcW w:type="dxa" w:w="2592"/>
          </w:tcPr>
          <w:p>
            <w:r>
              <w:t>Exact cardinality/ownership and whether every session has an event representation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Next logical/API design decision if evidence requires.</w:t>
            </w:r>
          </w:p>
        </w:tc>
      </w:tr>
    </w:tbl>
    <w:p>
      <w:pPr>
        <w:pStyle w:val="Heading1"/>
      </w:pPr>
      <w:r>
        <w:t>9. Decision Assessment</w:t>
      </w:r>
    </w:p>
    <w:p>
      <w:r>
        <w:t>No new architecture decision is required to approve the core ERD-level direction. The evidence supports a separate Learning Session capability and separate Session Enrollment rather than reuse of M04 Enrollment or M05 EventRegistration. One logical relationship remains open for downstream design: the exact cardinality/ownership between Learning Session and the existing M05 Event calendar representation.</w:t>
      </w:r>
    </w:p>
    <w:p>
      <w:r>
        <w:t>AEP4-OD-08 remains independently OPEN/DEFERRED. MADCR-049 remains OPEN/RE-EVALUATION and is not closed by this ERD reconciliation.</w:t>
      </w:r>
    </w:p>
    <w:p>
      <w:pPr>
        <w:pStyle w:val="Heading1"/>
      </w:pPr>
      <w:r>
        <w:t>10. Next Step</w:t>
      </w:r>
    </w:p>
    <w:p>
      <w:r>
        <w:t>Proceed to STEP 07 — Logical Schema / Data Dictionary Impact, but only at controlled specification level: define required logical attributes, provenance requirements, and compatibility constraints for the NEW/EVOLVE concepts. Do not generate SQL yet. The Session↔Event relationship should be resolved only if schema/API design requires a specific cardinality decision.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