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07 — Logical Schema / Data Dictionary Impact</w:t>
      </w:r>
    </w:p>
    <w:p>
      <w:pPr>
        <w:jc w:val="center"/>
      </w:pPr>
      <w:r>
        <w:rPr>
          <w:i/>
        </w:rPr>
        <w:t>Version 1.0 | Controlled logical specification | Physical schema NOT AUTHORIZED</w:t>
      </w:r>
    </w:p>
    <w:p>
      <w:pPr>
        <w:pStyle w:val="Heading1"/>
      </w:pPr>
      <w:r>
        <w:t>1. Purpose &amp; Evidence Basis</w:t>
      </w:r>
    </w:p>
    <w:p>
      <w:r>
        <w:t>This step converts the approved logical entity/relationship direction into a controlled logical data dictionary: attribute categories, provenance requirements, compatibility constraints and unresolved data-design questions. It deliberately does not define SQL tables, physical column types, indexes, foreign keys, migrations, API payloads, or provider-specific schemas.</w:t>
      </w:r>
    </w:p>
    <w:p>
      <w:r>
        <w:t>The current baseline reconciliation establishes that M04 `enrollments` is Course Enrollment, M05 `event_registrations` is Event RSVP, M05 `events` remains generic calendar context, and AEP4 requires NEW Learning Session, Session Enrollment, Provider Binding and Participation Evidence concepts. fileciteturn8file0turn8file2</w:t>
      </w:r>
    </w:p>
    <w:p>
      <w:r>
        <w:t>AEP #2 schema guidance requires learner-specific completion/evidence to remain separate from Activity definition, preserves provenance, and keeps MADCR-049 conditional. fileciteturn8file13</w:t>
      </w:r>
    </w:p>
    <w:p>
      <w:pPr>
        <w:pStyle w:val="Heading1"/>
      </w:pPr>
      <w:r>
        <w:t>2. Gate Result</w:t>
      </w:r>
    </w:p>
    <w:p>
      <w:r>
        <w:t>PASS — LOGICAL DATA DICTIONARY READY FOR DOWNSTREAM SCHEMA IMPACT.</w:t>
      </w:r>
    </w:p>
    <w:p>
      <w:r>
        <w:t>No new business decision is required to establish the attribute categories below. Exact physical representation remains deferred.</w:t>
      </w:r>
    </w:p>
    <w:p>
      <w:pPr>
        <w:pStyle w:val="Heading1"/>
      </w:pPr>
      <w:r>
        <w:t>3. Logical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Concept</w:t>
            </w:r>
          </w:p>
        </w:tc>
        <w:tc>
          <w:tcPr>
            <w:tcW w:type="dxa" w:w="2074"/>
          </w:tcPr>
          <w:p>
            <w:r>
              <w:t>Category</w:t>
            </w:r>
          </w:p>
        </w:tc>
        <w:tc>
          <w:tcPr>
            <w:tcW w:type="dxa" w:w="2074"/>
          </w:tcPr>
          <w:p>
            <w:r>
              <w:t>Logical Attribute</w:t>
            </w:r>
          </w:p>
        </w:tc>
        <w:tc>
          <w:tcPr>
            <w:tcW w:type="dxa" w:w="2074"/>
          </w:tcPr>
          <w:p>
            <w:r>
              <w:t>Class</w:t>
            </w:r>
          </w:p>
        </w:tc>
        <w:tc>
          <w:tcPr>
            <w:tcW w:type="dxa" w:w="2074"/>
          </w:tcPr>
          <w:p>
            <w:r>
              <w:t>Constraint / Provenance</w:t>
            </w:r>
          </w:p>
        </w:tc>
      </w:tr>
      <w:tr>
        <w:tc>
          <w:tcPr>
            <w:tcW w:type="dxa" w:w="2074"/>
          </w:tcPr>
          <w:p>
            <w:r>
              <w:t>Learning Session</w:t>
            </w:r>
          </w:p>
        </w:tc>
        <w:tc>
          <w:tcPr>
            <w:tcW w:type="dxa" w:w="2074"/>
          </w:tcPr>
          <w:p>
            <w:r>
              <w:t>Identity</w:t>
            </w:r>
          </w:p>
        </w:tc>
        <w:tc>
          <w:tcPr>
            <w:tcW w:type="dxa" w:w="2074"/>
          </w:tcPr>
          <w:p>
            <w:r>
              <w:t>Canonical session identifier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Provider-independent and stable across provider switching.</w:t>
            </w:r>
          </w:p>
        </w:tc>
      </w:tr>
      <w:tr>
        <w:tc>
          <w:tcPr>
            <w:tcW w:type="dxa" w:w="2074"/>
          </w:tcPr>
          <w:p>
            <w:r>
              <w:t>Learning Session</w:t>
            </w:r>
          </w:p>
        </w:tc>
        <w:tc>
          <w:tcPr>
            <w:tcW w:type="dxa" w:w="2074"/>
          </w:tcPr>
          <w:p>
            <w:r>
              <w:t>Context</w:t>
            </w:r>
          </w:p>
        </w:tc>
        <w:tc>
          <w:tcPr>
            <w:tcW w:type="dxa" w:w="2074"/>
          </w:tcPr>
          <w:p>
            <w:r>
              <w:t>Course/learning context reference</w:t>
            </w:r>
          </w:p>
        </w:tc>
        <w:tc>
          <w:tcPr>
            <w:tcW w:type="dxa" w:w="2074"/>
          </w:tcPr>
          <w:p>
            <w:r>
              <w:t>EVOLVE</w:t>
            </w:r>
          </w:p>
        </w:tc>
        <w:tc>
          <w:tcPr>
            <w:tcW w:type="dxa" w:w="2074"/>
          </w:tcPr>
          <w:p>
            <w:r>
              <w:t>May link to existing Course; exact cardinality remains downstream.</w:t>
            </w:r>
          </w:p>
        </w:tc>
      </w:tr>
      <w:tr>
        <w:tc>
          <w:tcPr>
            <w:tcW w:type="dxa" w:w="2074"/>
          </w:tcPr>
          <w:p>
            <w:r>
              <w:t>Learning Session</w:t>
            </w:r>
          </w:p>
        </w:tc>
        <w:tc>
          <w:tcPr>
            <w:tcW w:type="dxa" w:w="2074"/>
          </w:tcPr>
          <w:p>
            <w:r>
              <w:t>Definition</w:t>
            </w:r>
          </w:p>
        </w:tc>
        <w:tc>
          <w:tcPr>
            <w:tcW w:type="dxa" w:w="2074"/>
          </w:tcPr>
          <w:p>
            <w:r>
              <w:t>Session type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BROADCAST / INTERACTIVE / ON_DEMAND.</w:t>
            </w:r>
          </w:p>
        </w:tc>
      </w:tr>
      <w:tr>
        <w:tc>
          <w:tcPr>
            <w:tcW w:type="dxa" w:w="2074"/>
          </w:tcPr>
          <w:p>
            <w:r>
              <w:t>Learning Session</w:t>
            </w:r>
          </w:p>
        </w:tc>
        <w:tc>
          <w:tcPr>
            <w:tcW w:type="dxa" w:w="2074"/>
          </w:tcPr>
          <w:p>
            <w:r>
              <w:t>Lifecycle</w:t>
            </w:r>
          </w:p>
        </w:tc>
        <w:tc>
          <w:tcPr>
            <w:tcW w:type="dxa" w:w="2074"/>
          </w:tcPr>
          <w:p>
            <w:r>
              <w:t>Session status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DRAFT / SCHEDULED / LIVE / ENDED; CANCELLED/FAILED exception states.</w:t>
            </w:r>
          </w:p>
        </w:tc>
      </w:tr>
      <w:tr>
        <w:tc>
          <w:tcPr>
            <w:tcW w:type="dxa" w:w="2074"/>
          </w:tcPr>
          <w:p>
            <w:r>
              <w:t>Learning Session</w:t>
            </w:r>
          </w:p>
        </w:tc>
        <w:tc>
          <w:tcPr>
            <w:tcW w:type="dxa" w:w="2074"/>
          </w:tcPr>
          <w:p>
            <w:r>
              <w:t>Schedule</w:t>
            </w:r>
          </w:p>
        </w:tc>
        <w:tc>
          <w:tcPr>
            <w:tcW w:type="dxa" w:w="2074"/>
          </w:tcPr>
          <w:p>
            <w:r>
              <w:t>Start/end scheduling context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Logical scheduling data; timezone/recurrence details downstream.</w:t>
            </w:r>
          </w:p>
        </w:tc>
      </w:tr>
      <w:tr>
        <w:tc>
          <w:tcPr>
            <w:tcW w:type="dxa" w:w="2074"/>
          </w:tcPr>
          <w:p>
            <w:r>
              <w:t>Learning Session</w:t>
            </w:r>
          </w:p>
        </w:tc>
        <w:tc>
          <w:tcPr>
            <w:tcW w:type="dxa" w:w="2074"/>
          </w:tcPr>
          <w:p>
            <w:r>
              <w:t>Access</w:t>
            </w:r>
          </w:p>
        </w:tc>
        <w:tc>
          <w:tcPr>
            <w:tcW w:type="dxa" w:w="2074"/>
          </w:tcPr>
          <w:p>
            <w:r>
              <w:t>Visibility/access scope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Semantic scope; final taxonomy/RBAC downstream.</w:t>
            </w:r>
          </w:p>
        </w:tc>
      </w:tr>
      <w:tr>
        <w:tc>
          <w:tcPr>
            <w:tcW w:type="dxa" w:w="2074"/>
          </w:tcPr>
          <w:p>
            <w:r>
              <w:t>Learning Session</w:t>
            </w:r>
          </w:p>
        </w:tc>
        <w:tc>
          <w:tcPr>
            <w:tcW w:type="dxa" w:w="2074"/>
          </w:tcPr>
          <w:p>
            <w:r>
              <w:t>Workspace</w:t>
            </w:r>
          </w:p>
        </w:tc>
        <w:tc>
          <w:tcPr>
            <w:tcW w:type="dxa" w:w="2074"/>
          </w:tcPr>
          <w:p>
            <w:r>
              <w:t>Organization/workspace context</w:t>
            </w:r>
          </w:p>
        </w:tc>
        <w:tc>
          <w:tcPr>
            <w:tcW w:type="dxa" w:w="2074"/>
          </w:tcPr>
          <w:p>
            <w:r>
              <w:t>EVOLVE</w:t>
            </w:r>
          </w:p>
        </w:tc>
        <w:tc>
          <w:tcPr>
            <w:tcW w:type="dxa" w:w="2074"/>
          </w:tcPr>
          <w:p>
            <w:r>
              <w:t>Existing organization authority may be referenced; cardinality downstream.</w:t>
            </w:r>
          </w:p>
        </w:tc>
      </w:tr>
      <w:tr>
        <w:tc>
          <w:tcPr>
            <w:tcW w:type="dxa" w:w="2074"/>
          </w:tcPr>
          <w:p>
            <w:r>
              <w:t>Learning Session</w:t>
            </w:r>
          </w:p>
        </w:tc>
        <w:tc>
          <w:tcPr>
            <w:tcW w:type="dxa" w:w="2074"/>
          </w:tcPr>
          <w:p>
            <w:r>
              <w:t>Audit</w:t>
            </w:r>
          </w:p>
        </w:tc>
        <w:tc>
          <w:tcPr>
            <w:tcW w:type="dxa" w:w="2074"/>
          </w:tcPr>
          <w:p>
            <w:r>
              <w:t>Created/updated/provenance context</w:t>
            </w:r>
          </w:p>
        </w:tc>
        <w:tc>
          <w:tcPr>
            <w:tcW w:type="dxa" w:w="2074"/>
          </w:tcPr>
          <w:p>
            <w:r>
              <w:t>EVOLVE</w:t>
            </w:r>
          </w:p>
        </w:tc>
        <w:tc>
          <w:tcPr>
            <w:tcW w:type="dxa" w:w="2074"/>
          </w:tcPr>
          <w:p>
            <w:r>
              <w:t>Must support reconstructability and historical audit.</w:t>
            </w:r>
          </w:p>
        </w:tc>
      </w:tr>
      <w:tr>
        <w:tc>
          <w:tcPr>
            <w:tcW w:type="dxa" w:w="2074"/>
          </w:tcPr>
          <w:p>
            <w:r>
              <w:t>Session Enrollment</w:t>
            </w:r>
          </w:p>
        </w:tc>
        <w:tc>
          <w:tcPr>
            <w:tcW w:type="dxa" w:w="2074"/>
          </w:tcPr>
          <w:p>
            <w:r>
              <w:t>Identity</w:t>
            </w:r>
          </w:p>
        </w:tc>
        <w:tc>
          <w:tcPr>
            <w:tcW w:type="dxa" w:w="2074"/>
          </w:tcPr>
          <w:p>
            <w:r>
              <w:t>Enrollment identifier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Distinct from M04 Course Enrollment and M05 EventRegistration.</w:t>
            </w:r>
          </w:p>
        </w:tc>
      </w:tr>
      <w:tr>
        <w:tc>
          <w:tcPr>
            <w:tcW w:type="dxa" w:w="2074"/>
          </w:tcPr>
          <w:p>
            <w:r>
              <w:t>Session Enrollment</w:t>
            </w:r>
          </w:p>
        </w:tc>
        <w:tc>
          <w:tcPr>
            <w:tcW w:type="dxa" w:w="2074"/>
          </w:tcPr>
          <w:p>
            <w:r>
              <w:t>Relationship</w:t>
            </w:r>
          </w:p>
        </w:tc>
        <w:tc>
          <w:tcPr>
            <w:tcW w:type="dxa" w:w="2074"/>
          </w:tcPr>
          <w:p>
            <w:r>
              <w:t>Learner/agent reference + session reference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Learner identity remains existing identity authority.</w:t>
            </w:r>
          </w:p>
        </w:tc>
      </w:tr>
      <w:tr>
        <w:tc>
          <w:tcPr>
            <w:tcW w:type="dxa" w:w="2074"/>
          </w:tcPr>
          <w:p>
            <w:r>
              <w:t>Session Enrollment</w:t>
            </w:r>
          </w:p>
        </w:tc>
        <w:tc>
          <w:tcPr>
            <w:tcW w:type="dxa" w:w="2074"/>
          </w:tcPr>
          <w:p>
            <w:r>
              <w:t>Lifecycle</w:t>
            </w:r>
          </w:p>
        </w:tc>
        <w:tc>
          <w:tcPr>
            <w:tcW w:type="dxa" w:w="2074"/>
          </w:tcPr>
          <w:p>
            <w:r>
              <w:t>Enrollment status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PENDING → ACTIVE → COMPLETED per OD-17.</w:t>
            </w:r>
          </w:p>
        </w:tc>
      </w:tr>
      <w:tr>
        <w:tc>
          <w:tcPr>
            <w:tcW w:type="dxa" w:w="2074"/>
          </w:tcPr>
          <w:p>
            <w:r>
              <w:t>Session Enrollment</w:t>
            </w:r>
          </w:p>
        </w:tc>
        <w:tc>
          <w:tcPr>
            <w:tcW w:type="dxa" w:w="2074"/>
          </w:tcPr>
          <w:p>
            <w:r>
              <w:t>Activation</w:t>
            </w:r>
          </w:p>
        </w:tc>
        <w:tc>
          <w:tcPr>
            <w:tcW w:type="dxa" w:w="2074"/>
          </w:tcPr>
          <w:p>
            <w:r>
              <w:t>Activation provenance/reference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Identify governing entitlement/authorization without owning payment state.</w:t>
            </w:r>
          </w:p>
        </w:tc>
      </w:tr>
      <w:tr>
        <w:tc>
          <w:tcPr>
            <w:tcW w:type="dxa" w:w="2074"/>
          </w:tcPr>
          <w:p>
            <w:r>
              <w:t>Session Enrollment</w:t>
            </w:r>
          </w:p>
        </w:tc>
        <w:tc>
          <w:tcPr>
            <w:tcW w:type="dxa" w:w="2074"/>
          </w:tcPr>
          <w:p>
            <w:r>
              <w:t>Outcome</w:t>
            </w:r>
          </w:p>
        </w:tc>
        <w:tc>
          <w:tcPr>
            <w:tcW w:type="dxa" w:w="2074"/>
          </w:tcPr>
          <w:p>
            <w:r>
              <w:t>Enrollment timestamps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Requested/activated/completed temporal provenance.</w:t>
            </w:r>
          </w:p>
        </w:tc>
      </w:tr>
      <w:tr>
        <w:tc>
          <w:tcPr>
            <w:tcW w:type="dxa" w:w="2074"/>
          </w:tcPr>
          <w:p>
            <w:r>
              <w:t>Provider Binding</w:t>
            </w:r>
          </w:p>
        </w:tc>
        <w:tc>
          <w:tcPr>
            <w:tcW w:type="dxa" w:w="2074"/>
          </w:tcPr>
          <w:p>
            <w:r>
              <w:t>Identity</w:t>
            </w:r>
          </w:p>
        </w:tc>
        <w:tc>
          <w:tcPr>
            <w:tcW w:type="dxa" w:w="2074"/>
          </w:tcPr>
          <w:p>
            <w:r>
              <w:t>Binding identifier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Logical association, not semantic session identity.</w:t>
            </w:r>
          </w:p>
        </w:tc>
      </w:tr>
      <w:tr>
        <w:tc>
          <w:tcPr>
            <w:tcW w:type="dxa" w:w="2074"/>
          </w:tcPr>
          <w:p>
            <w:r>
              <w:t>Provider Binding</w:t>
            </w:r>
          </w:p>
        </w:tc>
        <w:tc>
          <w:tcPr>
            <w:tcW w:type="dxa" w:w="2074"/>
          </w:tcPr>
          <w:p>
            <w:r>
              <w:t>Provider</w:t>
            </w:r>
          </w:p>
        </w:tc>
        <w:tc>
          <w:tcPr>
            <w:tcW w:type="dxa" w:w="2074"/>
          </w:tcPr>
          <w:p>
            <w:r>
              <w:t>Provider type/key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Provider-agnostic abstraction; exact set/capabilities downstream.</w:t>
            </w:r>
          </w:p>
        </w:tc>
      </w:tr>
      <w:tr>
        <w:tc>
          <w:tcPr>
            <w:tcW w:type="dxa" w:w="2074"/>
          </w:tcPr>
          <w:p>
            <w:r>
              <w:t>Provider Binding</w:t>
            </w:r>
          </w:p>
        </w:tc>
        <w:tc>
          <w:tcPr>
            <w:tcW w:type="dxa" w:w="2074"/>
          </w:tcPr>
          <w:p>
            <w:r>
              <w:t>External</w:t>
            </w:r>
          </w:p>
        </w:tc>
        <w:tc>
          <w:tcPr>
            <w:tcW w:type="dxa" w:w="2074"/>
          </w:tcPr>
          <w:p>
            <w:r>
              <w:t>External provider session/reference IDs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Infrastructure references only.</w:t>
            </w:r>
          </w:p>
        </w:tc>
      </w:tr>
      <w:tr>
        <w:tc>
          <w:tcPr>
            <w:tcW w:type="dxa" w:w="2074"/>
          </w:tcPr>
          <w:p>
            <w:r>
              <w:t>Provider Binding</w:t>
            </w:r>
          </w:p>
        </w:tc>
        <w:tc>
          <w:tcPr>
            <w:tcW w:type="dxa" w:w="2074"/>
          </w:tcPr>
          <w:p>
            <w:r>
              <w:t>Execution</w:t>
            </w:r>
          </w:p>
        </w:tc>
        <w:tc>
          <w:tcPr>
            <w:tcW w:type="dxa" w:w="2074"/>
          </w:tcPr>
          <w:p>
            <w:r>
              <w:t>Binding state / effective period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Must support provider switching/history.</w:t>
            </w:r>
          </w:p>
        </w:tc>
      </w:tr>
      <w:tr>
        <w:tc>
          <w:tcPr>
            <w:tcW w:type="dxa" w:w="2074"/>
          </w:tcPr>
          <w:p>
            <w:r>
              <w:t>Provider Binding</w:t>
            </w:r>
          </w:p>
        </w:tc>
        <w:tc>
          <w:tcPr>
            <w:tcW w:type="dxa" w:w="2074"/>
          </w:tcPr>
          <w:p>
            <w:r>
              <w:t>Credentials</w:t>
            </w:r>
          </w:p>
        </w:tc>
        <w:tc>
          <w:tcPr>
            <w:tcW w:type="dxa" w:w="2074"/>
          </w:tcPr>
          <w:p>
            <w:r>
              <w:t>Provider credential/token references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Raw secrets remain security/infrastructure controlled.</w:t>
            </w:r>
          </w:p>
        </w:tc>
      </w:tr>
      <w:tr>
        <w:tc>
          <w:tcPr>
            <w:tcW w:type="dxa" w:w="2074"/>
          </w:tcPr>
          <w:p>
            <w:r>
              <w:t>Participation Evidence</w:t>
            </w:r>
          </w:p>
        </w:tc>
        <w:tc>
          <w:tcPr>
            <w:tcW w:type="dxa" w:w="2074"/>
          </w:tcPr>
          <w:p>
            <w:r>
              <w:t>Identity</w:t>
            </w:r>
          </w:p>
        </w:tc>
        <w:tc>
          <w:tcPr>
            <w:tcW w:type="dxa" w:w="2074"/>
          </w:tcPr>
          <w:p>
            <w:r>
              <w:t>Evidence identifier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Stable evidence/provenance record.</w:t>
            </w:r>
          </w:p>
        </w:tc>
      </w:tr>
      <w:tr>
        <w:tc>
          <w:tcPr>
            <w:tcW w:type="dxa" w:w="2074"/>
          </w:tcPr>
          <w:p>
            <w:r>
              <w:t>Participation Evidence</w:t>
            </w:r>
          </w:p>
        </w:tc>
        <w:tc>
          <w:tcPr>
            <w:tcW w:type="dxa" w:w="2074"/>
          </w:tcPr>
          <w:p>
            <w:r>
              <w:t>Source</w:t>
            </w:r>
          </w:p>
        </w:tc>
        <w:tc>
          <w:tcPr>
            <w:tcW w:type="dxa" w:w="2074"/>
          </w:tcPr>
          <w:p>
            <w:r>
              <w:t>Provider + external event/reference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Preserve source provenance.</w:t>
            </w:r>
          </w:p>
        </w:tc>
      </w:tr>
      <w:tr>
        <w:tc>
          <w:tcPr>
            <w:tcW w:type="dxa" w:w="2074"/>
          </w:tcPr>
          <w:p>
            <w:r>
              <w:t>Participation Evidence</w:t>
            </w:r>
          </w:p>
        </w:tc>
        <w:tc>
          <w:tcPr>
            <w:tcW w:type="dxa" w:w="2074"/>
          </w:tcPr>
          <w:p>
            <w:r>
              <w:t>Participant</w:t>
            </w:r>
          </w:p>
        </w:tc>
        <w:tc>
          <w:tcPr>
            <w:tcW w:type="dxa" w:w="2074"/>
          </w:tcPr>
          <w:p>
            <w:r>
              <w:t>Learner/participant reference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Links evidence to session enrollment/participant.</w:t>
            </w:r>
          </w:p>
        </w:tc>
      </w:tr>
      <w:tr>
        <w:tc>
          <w:tcPr>
            <w:tcW w:type="dxa" w:w="2074"/>
          </w:tcPr>
          <w:p>
            <w:r>
              <w:t>Participation Evidence</w:t>
            </w:r>
          </w:p>
        </w:tc>
        <w:tc>
          <w:tcPr>
            <w:tcW w:type="dxa" w:w="2074"/>
          </w:tcPr>
          <w:p>
            <w:r>
              <w:t>Observation</w:t>
            </w:r>
          </w:p>
        </w:tc>
        <w:tc>
          <w:tcPr>
            <w:tcW w:type="dxa" w:w="2074"/>
          </w:tcPr>
          <w:p>
            <w:r>
              <w:t>Join/leave/participation observations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Normalized evidence, not blind provider payload copy.</w:t>
            </w:r>
          </w:p>
        </w:tc>
      </w:tr>
      <w:tr>
        <w:tc>
          <w:tcPr>
            <w:tcW w:type="dxa" w:w="2074"/>
          </w:tcPr>
          <w:p>
            <w:r>
              <w:t>Participation Evidence</w:t>
            </w:r>
          </w:p>
        </w:tc>
        <w:tc>
          <w:tcPr>
            <w:tcW w:type="dxa" w:w="2074"/>
          </w:tcPr>
          <w:p>
            <w:r>
              <w:t>Integrity</w:t>
            </w:r>
          </w:p>
        </w:tc>
        <w:tc>
          <w:tcPr>
            <w:tcW w:type="dxa" w:w="2074"/>
          </w:tcPr>
          <w:p>
            <w:r>
              <w:t>Received/processed timestamps + idempotency identity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Required for normalized/idempotent processing.</w:t>
            </w:r>
          </w:p>
        </w:tc>
      </w:tr>
      <w:tr>
        <w:tc>
          <w:tcPr>
            <w:tcW w:type="dxa" w:w="2074"/>
          </w:tcPr>
          <w:p>
            <w:r>
              <w:t>Attendance Evaluation</w:t>
            </w:r>
          </w:p>
        </w:tc>
        <w:tc>
          <w:tcPr>
            <w:tcW w:type="dxa" w:w="2074"/>
          </w:tcPr>
          <w:p>
            <w:r>
              <w:t>Policy</w:t>
            </w:r>
          </w:p>
        </w:tc>
        <w:tc>
          <w:tcPr>
            <w:tcW w:type="dxa" w:w="2074"/>
          </w:tcPr>
          <w:p>
            <w:r>
              <w:t>Policy/configuration reference/version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Exact policy values remain open/configurable.</w:t>
            </w:r>
          </w:p>
        </w:tc>
      </w:tr>
      <w:tr>
        <w:tc>
          <w:tcPr>
            <w:tcW w:type="dxa" w:w="2074"/>
          </w:tcPr>
          <w:p>
            <w:r>
              <w:t>Attendance Evaluation</w:t>
            </w:r>
          </w:p>
        </w:tc>
        <w:tc>
          <w:tcPr>
            <w:tcW w:type="dxa" w:w="2074"/>
          </w:tcPr>
          <w:p>
            <w:r>
              <w:t>Result</w:t>
            </w:r>
          </w:p>
        </w:tc>
        <w:tc>
          <w:tcPr>
            <w:tcW w:type="dxa" w:w="2074"/>
          </w:tcPr>
          <w:p>
            <w:r>
              <w:t>Attendance outcome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Evaluated business outcome, not raw provider fact.</w:t>
            </w:r>
          </w:p>
        </w:tc>
      </w:tr>
      <w:tr>
        <w:tc>
          <w:tcPr>
            <w:tcW w:type="dxa" w:w="2074"/>
          </w:tcPr>
          <w:p>
            <w:r>
              <w:t>Attendance Evaluation</w:t>
            </w:r>
          </w:p>
        </w:tc>
        <w:tc>
          <w:tcPr>
            <w:tcW w:type="dxa" w:w="2074"/>
          </w:tcPr>
          <w:p>
            <w:r>
              <w:t>Provenance</w:t>
            </w:r>
          </w:p>
        </w:tc>
        <w:tc>
          <w:tcPr>
            <w:tcW w:type="dxa" w:w="2074"/>
          </w:tcPr>
          <w:p>
            <w:r>
              <w:t>Evidence reference + evaluation timestamp/version</w:t>
            </w:r>
          </w:p>
        </w:tc>
        <w:tc>
          <w:tcPr>
            <w:tcW w:type="dxa" w:w="2074"/>
          </w:tcPr>
          <w:p>
            <w:r>
              <w:t>NEW</w:t>
            </w:r>
          </w:p>
        </w:tc>
        <w:tc>
          <w:tcPr>
            <w:tcW w:type="dxa" w:w="2074"/>
          </w:tcPr>
          <w:p>
            <w:r>
              <w:t>Must be reconstructable.</w:t>
            </w:r>
          </w:p>
        </w:tc>
      </w:tr>
      <w:tr>
        <w:tc>
          <w:tcPr>
            <w:tcW w:type="dxa" w:w="2074"/>
          </w:tcPr>
          <w:p>
            <w:r>
              <w:t>Completion Outcome</w:t>
            </w:r>
          </w:p>
        </w:tc>
        <w:tc>
          <w:tcPr>
            <w:tcW w:type="dxa" w:w="2074"/>
          </w:tcPr>
          <w:p>
            <w:r>
              <w:t>Policy</w:t>
            </w:r>
          </w:p>
        </w:tc>
        <w:tc>
          <w:tcPr>
            <w:tcW w:type="dxa" w:w="2074"/>
          </w:tcPr>
          <w:p>
            <w:r>
              <w:t>Completion rule/policy reference</w:t>
            </w:r>
          </w:p>
        </w:tc>
        <w:tc>
          <w:tcPr>
            <w:tcW w:type="dxa" w:w="2074"/>
          </w:tcPr>
          <w:p>
            <w:r>
              <w:t>NEW/EVOLVE</w:t>
            </w:r>
          </w:p>
        </w:tc>
        <w:tc>
          <w:tcPr>
            <w:tcW w:type="dxa" w:w="2074"/>
          </w:tcPr>
          <w:p>
            <w:r>
              <w:t>Exact final rule remains downstream and MADCR-049 conditional.</w:t>
            </w:r>
          </w:p>
        </w:tc>
      </w:tr>
      <w:tr>
        <w:tc>
          <w:tcPr>
            <w:tcW w:type="dxa" w:w="2074"/>
          </w:tcPr>
          <w:p>
            <w:r>
              <w:t>Completion Outcome</w:t>
            </w:r>
          </w:p>
        </w:tc>
        <w:tc>
          <w:tcPr>
            <w:tcW w:type="dxa" w:w="2074"/>
          </w:tcPr>
          <w:p>
            <w:r>
              <w:t>Result</w:t>
            </w:r>
          </w:p>
        </w:tc>
        <w:tc>
          <w:tcPr>
            <w:tcW w:type="dxa" w:w="2074"/>
          </w:tcPr>
          <w:p>
            <w:r>
              <w:t>Completion outcome/status</w:t>
            </w:r>
          </w:p>
        </w:tc>
        <w:tc>
          <w:tcPr>
            <w:tcW w:type="dxa" w:w="2074"/>
          </w:tcPr>
          <w:p>
            <w:r>
              <w:t>NEW/EVOLVE</w:t>
            </w:r>
          </w:p>
        </w:tc>
        <w:tc>
          <w:tcPr>
            <w:tcW w:type="dxa" w:w="2074"/>
          </w:tcPr>
          <w:p>
            <w:r>
              <w:t>Not a direct provider assertion.</w:t>
            </w:r>
          </w:p>
        </w:tc>
      </w:tr>
      <w:tr>
        <w:tc>
          <w:tcPr>
            <w:tcW w:type="dxa" w:w="2074"/>
          </w:tcPr>
          <w:p>
            <w:r>
              <w:t>Completion Outcome</w:t>
            </w:r>
          </w:p>
        </w:tc>
        <w:tc>
          <w:tcPr>
            <w:tcW w:type="dxa" w:w="2074"/>
          </w:tcPr>
          <w:p>
            <w:r>
              <w:t>Provenance</w:t>
            </w:r>
          </w:p>
        </w:tc>
        <w:tc>
          <w:tcPr>
            <w:tcW w:type="dxa" w:w="2074"/>
          </w:tcPr>
          <w:p>
            <w:r>
              <w:t>Evidence/evaluation references + timestamp</w:t>
            </w:r>
          </w:p>
        </w:tc>
        <w:tc>
          <w:tcPr>
            <w:tcW w:type="dxa" w:w="2074"/>
          </w:tcPr>
          <w:p>
            <w:r>
              <w:t>NEW/EVOLVE</w:t>
            </w:r>
          </w:p>
        </w:tc>
        <w:tc>
          <w:tcPr>
            <w:tcW w:type="dxa" w:w="2074"/>
          </w:tcPr>
          <w:p>
            <w:r>
              <w:t>Traceability required before Learning Activity handoff.</w:t>
            </w:r>
          </w:p>
        </w:tc>
      </w:tr>
      <w:tr>
        <w:tc>
          <w:tcPr>
            <w:tcW w:type="dxa" w:w="2074"/>
          </w:tcPr>
          <w:p>
            <w:r>
              <w:t>Session Artifact</w:t>
            </w:r>
          </w:p>
        </w:tc>
        <w:tc>
          <w:tcPr>
            <w:tcW w:type="dxa" w:w="2074"/>
          </w:tcPr>
          <w:p>
            <w:r>
              <w:t>Identity</w:t>
            </w:r>
          </w:p>
        </w:tc>
        <w:tc>
          <w:tcPr>
            <w:tcW w:type="dxa" w:w="2074"/>
          </w:tcPr>
          <w:p>
            <w:r>
              <w:t>Artifact/recording reference</w:t>
            </w:r>
          </w:p>
        </w:tc>
        <w:tc>
          <w:tcPr>
            <w:tcW w:type="dxa" w:w="2074"/>
          </w:tcPr>
          <w:p>
            <w:r>
              <w:t>NEW/EVOLVE</w:t>
            </w:r>
          </w:p>
        </w:tc>
        <w:tc>
          <w:tcPr>
            <w:tcW w:type="dxa" w:w="2074"/>
          </w:tcPr>
          <w:p>
            <w:r>
              <w:t>Optional; may support ON_DEMAND.</w:t>
            </w:r>
          </w:p>
        </w:tc>
      </w:tr>
      <w:tr>
        <w:tc>
          <w:tcPr>
            <w:tcW w:type="dxa" w:w="2074"/>
          </w:tcPr>
          <w:p>
            <w:r>
              <w:t>Session Artifact</w:t>
            </w:r>
          </w:p>
        </w:tc>
        <w:tc>
          <w:tcPr>
            <w:tcW w:type="dxa" w:w="2074"/>
          </w:tcPr>
          <w:p>
            <w:r>
              <w:t>Source</w:t>
            </w:r>
          </w:p>
        </w:tc>
        <w:tc>
          <w:tcPr>
            <w:tcW w:type="dxa" w:w="2074"/>
          </w:tcPr>
          <w:p>
            <w:r>
              <w:t>Provider/source reference</w:t>
            </w:r>
          </w:p>
        </w:tc>
        <w:tc>
          <w:tcPr>
            <w:tcW w:type="dxa" w:w="2074"/>
          </w:tcPr>
          <w:p>
            <w:r>
              <w:t>NEW/EVOLVE</w:t>
            </w:r>
          </w:p>
        </w:tc>
        <w:tc>
          <w:tcPr>
            <w:tcW w:type="dxa" w:w="2074"/>
          </w:tcPr>
          <w:p>
            <w:r>
              <w:t>Provider provenance retained.</w:t>
            </w:r>
          </w:p>
        </w:tc>
      </w:tr>
      <w:tr>
        <w:tc>
          <w:tcPr>
            <w:tcW w:type="dxa" w:w="2074"/>
          </w:tcPr>
          <w:p>
            <w:r>
              <w:t>Session Artifact</w:t>
            </w:r>
          </w:p>
        </w:tc>
        <w:tc>
          <w:tcPr>
            <w:tcW w:type="dxa" w:w="2074"/>
          </w:tcPr>
          <w:p>
            <w:r>
              <w:t>Lifecycle</w:t>
            </w:r>
          </w:p>
        </w:tc>
        <w:tc>
          <w:tcPr>
            <w:tcW w:type="dxa" w:w="2074"/>
          </w:tcPr>
          <w:p>
            <w:r>
              <w:t>Availability/retention metadata</w:t>
            </w:r>
          </w:p>
        </w:tc>
        <w:tc>
          <w:tcPr>
            <w:tcW w:type="dxa" w:w="2074"/>
          </w:tcPr>
          <w:p>
            <w:r>
              <w:t>OPEN</w:t>
            </w:r>
          </w:p>
        </w:tc>
        <w:tc>
          <w:tcPr>
            <w:tcW w:type="dxa" w:w="2074"/>
          </w:tcPr>
          <w:p>
            <w:r>
              <w:t>Retention/privacy/replay policy not decided.</w:t>
            </w:r>
          </w:p>
        </w:tc>
      </w:tr>
      <w:tr>
        <w:tc>
          <w:tcPr>
            <w:tcW w:type="dxa" w:w="2074"/>
          </w:tcPr>
          <w:p>
            <w:r>
              <w:t>Commercial Access Reference</w:t>
            </w:r>
          </w:p>
        </w:tc>
        <w:tc>
          <w:tcPr>
            <w:tcW w:type="dxa" w:w="2074"/>
          </w:tcPr>
          <w:p>
            <w:r>
              <w:t>Reference</w:t>
            </w:r>
          </w:p>
        </w:tc>
        <w:tc>
          <w:tcPr>
            <w:tcW w:type="dxa" w:w="2074"/>
          </w:tcPr>
          <w:p>
            <w:r>
              <w:t>Entitlement/order/payment reference</w:t>
            </w:r>
          </w:p>
        </w:tc>
        <w:tc>
          <w:tcPr>
            <w:tcW w:type="dxa" w:w="2074"/>
          </w:tcPr>
          <w:p>
            <w:r>
              <w:t>NEW/REFERENCE ONLY</w:t>
            </w:r>
          </w:p>
        </w:tc>
        <w:tc>
          <w:tcPr>
            <w:tcW w:type="dxa" w:w="2074"/>
          </w:tcPr>
          <w:p>
            <w:r>
              <w:t>Learning consumes trusted outcome; Commercial/Payment owns authority.</w:t>
            </w:r>
          </w:p>
        </w:tc>
      </w:tr>
      <w:tr>
        <w:tc>
          <w:tcPr>
            <w:tcW w:type="dxa" w:w="2074"/>
          </w:tcPr>
          <w:p>
            <w:r>
              <w:t>Audit/Provenance</w:t>
            </w:r>
          </w:p>
        </w:tc>
        <w:tc>
          <w:tcPr>
            <w:tcW w:type="dxa" w:w="2074"/>
          </w:tcPr>
          <w:p>
            <w:r>
              <w:t>Trace</w:t>
            </w:r>
          </w:p>
        </w:tc>
        <w:tc>
          <w:tcPr>
            <w:tcW w:type="dxa" w:w="2074"/>
          </w:tcPr>
          <w:p>
            <w:r>
              <w:t>Actor/source/action/time/correlation context</w:t>
            </w:r>
          </w:p>
        </w:tc>
        <w:tc>
          <w:tcPr>
            <w:tcW w:type="dxa" w:w="2074"/>
          </w:tcPr>
          <w:p>
            <w:r>
              <w:t>EVOLVE</w:t>
            </w:r>
          </w:p>
        </w:tc>
        <w:tc>
          <w:tcPr>
            <w:tcW w:type="dxa" w:w="2074"/>
          </w:tcPr>
          <w:p>
            <w:r>
              <w:t>Reuse existing audit architecture.</w:t>
            </w:r>
          </w:p>
        </w:tc>
      </w:tr>
    </w:tbl>
    <w:p>
      <w:pPr>
        <w:pStyle w:val="Heading1"/>
      </w:pPr>
      <w:r>
        <w:t>4. Provenance &amp; Integrity Requirements</w:t>
      </w:r>
    </w:p>
    <w:p>
      <w:pPr>
        <w:pStyle w:val="ListBullet"/>
      </w:pPr>
      <w:r>
        <w:t>Every provider-derived evidence record must retain provider/source provenance and a stable external reference where available.</w:t>
      </w:r>
    </w:p>
    <w:p>
      <w:pPr>
        <w:pStyle w:val="ListBullet"/>
      </w:pPr>
      <w:r>
        <w:t>Provider events must be validated, normalized and processed idempotently before becoming Participation Evidence; raw provider semantics must not become Learning authority.</w:t>
      </w:r>
    </w:p>
    <w:p>
      <w:pPr>
        <w:pStyle w:val="ListBullet"/>
      </w:pPr>
      <w:r>
        <w:t>Attendance Evaluation must retain enough reference to evidence and policy/version context to explain the evaluated outcome.</w:t>
      </w:r>
    </w:p>
    <w:p>
      <w:pPr>
        <w:pStyle w:val="ListBullet"/>
      </w:pPr>
      <w:r>
        <w:t>Completion Outcome must retain evidence/evaluation provenance sufficient to reconstruct why completion was established.</w:t>
      </w:r>
    </w:p>
    <w:p>
      <w:pPr>
        <w:pStyle w:val="ListBullet"/>
      </w:pPr>
      <w:r>
        <w:t>Session Enrollment activation should reference the governing entitlement/authorization outcome without duplicating Commercial/Payment state.</w:t>
      </w:r>
    </w:p>
    <w:p>
      <w:pPr>
        <w:pStyle w:val="ListBullet"/>
      </w:pPr>
      <w:r>
        <w:t>Provider switching must preserve the semantic Learning Session identifier and historical binding/evidence lineage.</w:t>
      </w:r>
    </w:p>
    <w:p>
      <w:pPr>
        <w:pStyle w:val="ListBullet"/>
      </w:pPr>
      <w:r>
        <w:t>Historical outcomes must remain auditable and reconstructable; provider failure must not erase Learning history. fileciteturn8file5</w:t>
      </w:r>
    </w:p>
    <w:p>
      <w:pPr>
        <w:pStyle w:val="ListBullet"/>
      </w:pPr>
      <w:r>
        <w:t>Existing project audit architecture should be reused/evolved rather than creating a parallel audit authority. fileciteturn8file13</w:t>
      </w:r>
    </w:p>
    <w:p>
      <w:pPr>
        <w:pStyle w:val="Heading1"/>
      </w:pPr>
      <w:r>
        <w:t>5. Compatibility / Non-Repurpose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Existing Artifact</w:t>
            </w:r>
          </w:p>
        </w:tc>
        <w:tc>
          <w:tcPr>
            <w:tcW w:type="dxa" w:w="2592"/>
          </w:tcPr>
          <w:p>
            <w:r>
              <w:t>Compatibility Rule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Result</w:t>
            </w:r>
          </w:p>
        </w:tc>
      </w:tr>
      <w:tr>
        <w:tc>
          <w:tcPr>
            <w:tcW w:type="dxa" w:w="2592"/>
          </w:tcPr>
          <w:p>
            <w:r>
              <w:t>M04 `enrollments`</w:t>
            </w:r>
          </w:p>
        </w:tc>
        <w:tc>
          <w:tcPr>
            <w:tcW w:type="dxa" w:w="2592"/>
          </w:tcPr>
          <w:p>
            <w:r>
              <w:t>Do not add Session Enrollment semantics.</w:t>
            </w:r>
          </w:p>
        </w:tc>
        <w:tc>
          <w:tcPr>
            <w:tcW w:type="dxa" w:w="2592"/>
          </w:tcPr>
          <w:p>
            <w:r>
              <w:t>KEEP / ISOLATE</w:t>
            </w:r>
          </w:p>
        </w:tc>
        <w:tc>
          <w:tcPr>
            <w:tcW w:type="dxa" w:w="2592"/>
          </w:tcPr>
          <w:p>
            <w:r>
              <w:t>Course Enrollment remains unchanged.</w:t>
            </w:r>
          </w:p>
        </w:tc>
      </w:tr>
      <w:tr>
        <w:tc>
          <w:tcPr>
            <w:tcW w:type="dxa" w:w="2592"/>
          </w:tcPr>
          <w:p>
            <w:r>
              <w:t>M05 `event_registrations`</w:t>
            </w:r>
          </w:p>
        </w:tc>
        <w:tc>
          <w:tcPr>
            <w:tcW w:type="dxa" w:w="2592"/>
          </w:tcPr>
          <w:p>
            <w:r>
              <w:t>Do not add AEP4 enrollment lifecycle.</w:t>
            </w:r>
          </w:p>
        </w:tc>
        <w:tc>
          <w:tcPr>
            <w:tcW w:type="dxa" w:w="2592"/>
          </w:tcPr>
          <w:p>
            <w:r>
              <w:t>KEEP / ISOLATE</w:t>
            </w:r>
          </w:p>
        </w:tc>
        <w:tc>
          <w:tcPr>
            <w:tcW w:type="dxa" w:w="2592"/>
          </w:tcPr>
          <w:p>
            <w:r>
              <w:t>Event RSVP remains calendar/event context.</w:t>
            </w:r>
          </w:p>
        </w:tc>
      </w:tr>
      <w:tr>
        <w:tc>
          <w:tcPr>
            <w:tcW w:type="dxa" w:w="2592"/>
          </w:tcPr>
          <w:p>
            <w:r>
              <w:t>M05 `events.meeting_link`</w:t>
            </w:r>
          </w:p>
        </w:tc>
        <w:tc>
          <w:tcPr>
            <w:tcW w:type="dxa" w:w="2592"/>
          </w:tcPr>
          <w:p>
            <w:r>
              <w:t>Do not make it provider identity.</w:t>
            </w:r>
          </w:p>
        </w:tc>
        <w:tc>
          <w:tcPr>
            <w:tcW w:type="dxa" w:w="2592"/>
          </w:tcPr>
          <w:p>
            <w:r>
              <w:t>LEGACY / EVOLVE</w:t>
            </w:r>
          </w:p>
        </w:tc>
        <w:tc>
          <w:tcPr>
            <w:tcW w:type="dxa" w:w="2592"/>
          </w:tcPr>
          <w:p>
            <w:r>
              <w:t>Provider Binding becomes canonical infrastructure association.</w:t>
            </w:r>
          </w:p>
        </w:tc>
      </w:tr>
      <w:tr>
        <w:tc>
          <w:tcPr>
            <w:tcW w:type="dxa" w:w="2592"/>
          </w:tcPr>
          <w:p>
            <w:r>
              <w:t>M05 `events.quota`</w:t>
            </w:r>
          </w:p>
        </w:tc>
        <w:tc>
          <w:tcPr>
            <w:tcW w:type="dxa" w:w="2592"/>
          </w:tcPr>
          <w:p>
            <w:r>
              <w:t>Do not promote as canonical session capacity.</w:t>
            </w:r>
          </w:p>
        </w:tc>
        <w:tc>
          <w:tcPr>
            <w:tcW w:type="dxa" w:w="2592"/>
          </w:tcPr>
          <w:p>
            <w:r>
              <w:t>KEEP / OPEN</w:t>
            </w:r>
          </w:p>
        </w:tc>
        <w:tc>
          <w:tcPr>
            <w:tcW w:type="dxa" w:w="2592"/>
          </w:tcPr>
          <w:p>
            <w:r>
              <w:t>Capacity policy still requires evidence/decision.</w:t>
            </w:r>
          </w:p>
        </w:tc>
      </w:tr>
      <w:tr>
        <w:tc>
          <w:tcPr>
            <w:tcW w:type="dxa" w:w="2592"/>
          </w:tcPr>
          <w:p>
            <w:r>
              <w:t>M04 `certificates`</w:t>
            </w:r>
          </w:p>
        </w:tc>
        <w:tc>
          <w:tcPr>
            <w:tcW w:type="dxa" w:w="2592"/>
          </w:tcPr>
          <w:p>
            <w:r>
              <w:t>No merge with Award Instance.</w:t>
            </w:r>
          </w:p>
        </w:tc>
        <w:tc>
          <w:tcPr>
            <w:tcW w:type="dxa" w:w="2592"/>
          </w:tcPr>
          <w:p>
            <w:r>
              <w:t>KEEP / ISOLATE</w:t>
            </w:r>
          </w:p>
        </w:tc>
        <w:tc>
          <w:tcPr>
            <w:tcW w:type="dxa" w:w="2592"/>
          </w:tcPr>
          <w:p>
            <w:r>
              <w:t>Credential boundary preserved.</w:t>
            </w:r>
          </w:p>
        </w:tc>
      </w:tr>
      <w:tr>
        <w:tc>
          <w:tcPr>
            <w:tcW w:type="dxa" w:w="2592"/>
          </w:tcPr>
          <w:p>
            <w:r>
              <w:t>Organization</w:t>
            </w:r>
          </w:p>
        </w:tc>
        <w:tc>
          <w:tcPr>
            <w:tcW w:type="dxa" w:w="2592"/>
          </w:tcPr>
          <w:p>
            <w:r>
              <w:t>Reference existing authority.</w:t>
            </w:r>
          </w:p>
        </w:tc>
        <w:tc>
          <w:tcPr>
            <w:tcW w:type="dxa" w:w="2592"/>
          </w:tcPr>
          <w:p>
            <w:r>
              <w:t>EVOLVE / INTEGRATE</w:t>
            </w:r>
          </w:p>
        </w:tc>
        <w:tc>
          <w:tcPr>
            <w:tcW w:type="dxa" w:w="2592"/>
          </w:tcPr>
          <w:p>
            <w:r>
              <w:t>Session relationship/cardinality downstream.</w:t>
            </w:r>
          </w:p>
        </w:tc>
      </w:tr>
      <w:tr>
        <w:tc>
          <w:tcPr>
            <w:tcW w:type="dxa" w:w="2592"/>
          </w:tcPr>
          <w:p>
            <w:r>
              <w:t>Audit logs</w:t>
            </w:r>
          </w:p>
        </w:tc>
        <w:tc>
          <w:tcPr>
            <w:tcW w:type="dxa" w:w="2592"/>
          </w:tcPr>
          <w:p>
            <w:r>
              <w:t>Reuse/evolve existing mechanism.</w:t>
            </w:r>
          </w:p>
        </w:tc>
        <w:tc>
          <w:tcPr>
            <w:tcW w:type="dxa" w:w="2592"/>
          </w:tcPr>
          <w:p>
            <w:r>
              <w:t>EVOLVE</w:t>
            </w:r>
          </w:p>
        </w:tc>
        <w:tc>
          <w:tcPr>
            <w:tcW w:type="dxa" w:w="2592"/>
          </w:tcPr>
          <w:p>
            <w:r>
              <w:t>Preserve provenance/reconstructability.</w:t>
            </w:r>
          </w:p>
        </w:tc>
      </w:tr>
    </w:tbl>
    <w:p>
      <w:pPr>
        <w:pStyle w:val="Heading1"/>
      </w:pPr>
      <w:r>
        <w:t>6. Data Separation Rules</w:t>
      </w:r>
    </w:p>
    <w:p>
      <w:pPr>
        <w:pStyle w:val="ListBullet"/>
      </w:pPr>
      <w:r>
        <w:t>Course Enrollment ≠ Session Enrollment ≠ Event Registration.</w:t>
      </w:r>
    </w:p>
    <w:p>
      <w:pPr>
        <w:pStyle w:val="ListBullet"/>
      </w:pPr>
      <w:r>
        <w:t>Provider Session ID ≠ Learning Session ID.</w:t>
      </w:r>
    </w:p>
    <w:p>
      <w:pPr>
        <w:pStyle w:val="ListBullet"/>
      </w:pPr>
      <w:r>
        <w:t>Participation Evidence ≠ Attendance Outcome.</w:t>
      </w:r>
    </w:p>
    <w:p>
      <w:pPr>
        <w:pStyle w:val="ListBullet"/>
      </w:pPr>
      <w:r>
        <w:t>Attendance Outcome ≠ Completion Outcome.</w:t>
      </w:r>
    </w:p>
    <w:p>
      <w:pPr>
        <w:pStyle w:val="ListBullet"/>
      </w:pPr>
      <w:r>
        <w:t>Completion Outcome ≠ Learning Point Transaction.</w:t>
      </w:r>
    </w:p>
    <w:p>
      <w:pPr>
        <w:pStyle w:val="ListBullet"/>
      </w:pPr>
      <w:r>
        <w:t>Completion Outcome ≠ Competency / Credential / Title.</w:t>
      </w:r>
    </w:p>
    <w:p>
      <w:pPr>
        <w:pStyle w:val="ListBullet"/>
      </w:pPr>
      <w:r>
        <w:t>Commercial Entitlement / Payment Outcome ≠ Learning Session Enrollment state.</w:t>
      </w:r>
    </w:p>
    <w:p>
      <w:pPr>
        <w:pStyle w:val="ListBullet"/>
      </w:pPr>
      <w:r>
        <w:t>Recording/Artifact ≠ Attendance or Completion authority.</w:t>
      </w:r>
    </w:p>
    <w:p>
      <w:pPr>
        <w:pStyle w:val="ListBullet"/>
      </w:pPr>
      <w:r>
        <w:t>AI output ≠ authoritative Learning outcome.</w:t>
      </w:r>
    </w:p>
    <w:p>
      <w:pPr>
        <w:pStyle w:val="Heading1"/>
      </w:pPr>
      <w:r>
        <w:t>7. Open / Deferred Data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Item</w:t>
            </w:r>
          </w:p>
        </w:tc>
        <w:tc>
          <w:tcPr>
            <w:tcW w:type="dxa" w:w="2592"/>
          </w:tcPr>
          <w:p>
            <w:r>
              <w:t>Open question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Handling</w:t>
            </w:r>
          </w:p>
        </w:tc>
      </w:tr>
      <w:tr>
        <w:tc>
          <w:tcPr>
            <w:tcW w:type="dxa" w:w="2592"/>
          </w:tcPr>
          <w:p>
            <w:r>
              <w:t>AEP4-OD-08</w:t>
            </w:r>
          </w:p>
        </w:tc>
        <w:tc>
          <w:tcPr>
            <w:tcW w:type="dxa" w:w="2592"/>
          </w:tcPr>
          <w:p>
            <w:r>
              <w:t>Automatic provider failover</w:t>
            </w:r>
          </w:p>
        </w:tc>
        <w:tc>
          <w:tcPr>
            <w:tcW w:type="dxa" w:w="2592"/>
          </w:tcPr>
          <w:p>
            <w:r>
              <w:t>OPEN / DEFERRED</w:t>
            </w:r>
          </w:p>
        </w:tc>
        <w:tc>
          <w:tcPr>
            <w:tcW w:type="dxa" w:w="2592"/>
          </w:tcPr>
          <w:p>
            <w:r>
              <w:t>Provider capability/technical verification.</w:t>
            </w:r>
          </w:p>
        </w:tc>
      </w:tr>
      <w:tr>
        <w:tc>
          <w:tcPr>
            <w:tcW w:type="dxa" w:w="2592"/>
          </w:tcPr>
          <w:p>
            <w:r>
              <w:t>Session↔Event</w:t>
            </w:r>
          </w:p>
        </w:tc>
        <w:tc>
          <w:tcPr>
            <w:tcW w:type="dxa" w:w="2592"/>
          </w:tcPr>
          <w:p>
            <w:r>
              <w:t>Cardinality/ownership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Resolve only when schema/API requires it.</w:t>
            </w:r>
          </w:p>
        </w:tc>
      </w:tr>
      <w:tr>
        <w:tc>
          <w:tcPr>
            <w:tcW w:type="dxa" w:w="2592"/>
          </w:tcPr>
          <w:p>
            <w:r>
              <w:t>Attendance policy</w:t>
            </w:r>
          </w:p>
        </w:tc>
        <w:tc>
          <w:tcPr>
            <w:tcW w:type="dxa" w:w="2592"/>
          </w:tcPr>
          <w:p>
            <w:r>
              <w:t>Exact formula/threshold/exceptions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Business Rule / Configuration.</w:t>
            </w:r>
          </w:p>
        </w:tc>
      </w:tr>
      <w:tr>
        <w:tc>
          <w:tcPr>
            <w:tcW w:type="dxa" w:w="2592"/>
          </w:tcPr>
          <w:p>
            <w:r>
              <w:t>Capacity</w:t>
            </w:r>
          </w:p>
        </w:tc>
        <w:tc>
          <w:tcPr>
            <w:tcW w:type="dxa" w:w="2592"/>
          </w:tcPr>
          <w:p>
            <w:r>
              <w:t>Maximum participant capacity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Evidence/provider/business decision.</w:t>
            </w:r>
          </w:p>
        </w:tc>
      </w:tr>
      <w:tr>
        <w:tc>
          <w:tcPr>
            <w:tcW w:type="dxa" w:w="2592"/>
          </w:tcPr>
          <w:p>
            <w:r>
              <w:t>Visibility taxonomy</w:t>
            </w:r>
          </w:p>
        </w:tc>
        <w:tc>
          <w:tcPr>
            <w:tcW w:type="dxa" w:w="2592"/>
          </w:tcPr>
          <w:p>
            <w:r>
              <w:t>Final scope values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Downstream semantic design.</w:t>
            </w:r>
          </w:p>
        </w:tc>
      </w:tr>
      <w:tr>
        <w:tc>
          <w:tcPr>
            <w:tcW w:type="dxa" w:w="2592"/>
          </w:tcPr>
          <w:p>
            <w:r>
              <w:t>Provider contract</w:t>
            </w:r>
          </w:p>
        </w:tc>
        <w:tc>
          <w:tcPr>
            <w:tcW w:type="dxa" w:w="2592"/>
          </w:tcPr>
          <w:p>
            <w:r>
              <w:t>Exact APIs/OAuth/events/quotas/plans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Provider verification.</w:t>
            </w:r>
          </w:p>
        </w:tc>
      </w:tr>
      <w:tr>
        <w:tc>
          <w:tcPr>
            <w:tcW w:type="dxa" w:w="2592"/>
          </w:tcPr>
          <w:p>
            <w:r>
              <w:t>Recording</w:t>
            </w:r>
          </w:p>
        </w:tc>
        <w:tc>
          <w:tcPr>
            <w:tcW w:type="dxa" w:w="2592"/>
          </w:tcPr>
          <w:p>
            <w:r>
              <w:t>Retention/privacy/replay/transcript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Media design.</w:t>
            </w:r>
          </w:p>
        </w:tc>
      </w:tr>
      <w:tr>
        <w:tc>
          <w:tcPr>
            <w:tcW w:type="dxa" w:w="2592"/>
          </w:tcPr>
          <w:p>
            <w:r>
              <w:t>MADCR-049</w:t>
            </w:r>
          </w:p>
        </w:tc>
        <w:tc>
          <w:tcPr>
            <w:tcW w:type="dxa" w:w="2592"/>
          </w:tcPr>
          <w:p>
            <w:r>
              <w:t>Learning Activity evidence model</w:t>
            </w:r>
          </w:p>
        </w:tc>
        <w:tc>
          <w:tcPr>
            <w:tcW w:type="dxa" w:w="2592"/>
          </w:tcPr>
          <w:p>
            <w:r>
              <w:t>OPEN / RE-EVALUATION</w:t>
            </w:r>
          </w:p>
        </w:tc>
        <w:tc>
          <w:tcPr>
            <w:tcW w:type="dxa" w:w="2592"/>
          </w:tcPr>
          <w:p>
            <w:r>
              <w:t>Independent governance gate.</w:t>
            </w:r>
          </w:p>
        </w:tc>
      </w:tr>
      <w:tr>
        <w:tc>
          <w:tcPr>
            <w:tcW w:type="dxa" w:w="2592"/>
          </w:tcPr>
          <w:p>
            <w:r>
              <w:t>Physical schema</w:t>
            </w:r>
          </w:p>
        </w:tc>
        <w:tc>
          <w:tcPr>
            <w:tcW w:type="dxa" w:w="2592"/>
          </w:tcPr>
          <w:p>
            <w:r>
              <w:t>Table/column/FK/index choices</w:t>
            </w:r>
          </w:p>
        </w:tc>
        <w:tc>
          <w:tcPr>
            <w:tcW w:type="dxa" w:w="2592"/>
          </w:tcPr>
          <w:p>
            <w:r>
              <w:t>DEFERRED</w:t>
            </w:r>
          </w:p>
        </w:tc>
        <w:tc>
          <w:tcPr>
            <w:tcW w:type="dxa" w:w="2592"/>
          </w:tcPr>
          <w:p>
            <w:r>
              <w:t>After AEP4 downstream impacts and global synchronization.</w:t>
            </w:r>
          </w:p>
        </w:tc>
      </w:tr>
    </w:tbl>
    <w:p>
      <w:pPr>
        <w:pStyle w:val="Heading1"/>
      </w:pPr>
      <w:r>
        <w:t>8. Decision Assessment</w:t>
      </w:r>
    </w:p>
    <w:p>
      <w:r>
        <w:t>No new user Open Decision is required at this point. The logical data dictionary is sufficiently constrained to proceed to downstream provider adapter/integration impact analysis. The unresolved Session↔Event cardinality should remain open until an actual schema/API contract requires a choice. AEP4-OD-08 and MADCR-049 remain independent residuals.</w:t>
      </w:r>
    </w:p>
    <w:p>
      <w:pPr>
        <w:pStyle w:val="Heading1"/>
      </w:pPr>
      <w:r>
        <w:t>9. Next Step</w:t>
      </w:r>
    </w:p>
    <w:p>
      <w:r>
        <w:t>STEP 08 — Provider Adapter &amp; Integration Contract Impact. This will define the logical adapter boundary, normalized provider capability model, inbound event/evidence contract categories, provider switching continuity requirements, and provider-verification checklist. It will not yet lock vendor-specific API payloads or credentials.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