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RUMAHAGEN — AEP #4 Learning Session</w:t>
        <w:br/>
        <w:t>STEP 08 — Provider Adapter &amp; Integration Contract Impact</w:t>
      </w:r>
    </w:p>
    <w:p>
      <w:pPr>
        <w:jc w:val="center"/>
      </w:pPr>
      <w:r>
        <w:rPr>
          <w:i/>
        </w:rPr>
        <w:t>Version 1.0 | Logical integration contract | Vendor implementation NOT AUTHORIZED</w:t>
      </w:r>
    </w:p>
    <w:p>
      <w:pPr>
        <w:pStyle w:val="Heading1"/>
      </w:pPr>
      <w:r>
        <w:t>1. Purpose &amp; Evidence Basis</w:t>
      </w:r>
    </w:p>
    <w:p>
      <w:r>
        <w:t>This step defines the provider-neutral logical adapter boundary and integration contract categories for Learning Session. It follows the approved AEP4 decisions: provider-agnostic architecture, provider events as evidence, normalized/idempotent handling, provider switching without changing semantic session identity/history, optional recording, and no universal provider priority. fileciteturn9file0</w:t>
      </w:r>
    </w:p>
    <w:p>
      <w:r>
        <w:t>Current AEP4 governance explicitly leaves provider-specific capabilities, OAuth scopes, plans, quotas/rate limits, pricing/policy constraints and exact event schemas as verification work. fileciteturn9file11</w:t>
      </w:r>
    </w:p>
    <w:p>
      <w:r>
        <w:t>Current official provider documentation was checked for capability evidence only. It is not used to silently lock a vendor choice or physical implementation.</w:t>
      </w:r>
    </w:p>
    <w:p>
      <w:pPr>
        <w:pStyle w:val="Heading1"/>
      </w:pPr>
      <w:r>
        <w:t>2. Gate Result</w:t>
      </w:r>
    </w:p>
    <w:p>
      <w:r>
        <w:t>PASS — PROVIDER-NEUTRAL ADAPTER CONTRACT DEFINED; VENDOR CAPABILITIES VERIFIED AT EVIDENCE LEVEL ONLY.</w:t>
      </w:r>
    </w:p>
    <w:p>
      <w:r>
        <w:t>AEP4-OD-08 Automatic Failover remains OPEN/DEFERRED. No provider receives a universal priority. The adapter must permit replacement and preserve semantic Learning Session identity/history. fileciteturn9file0</w:t>
      </w:r>
    </w:p>
    <w:p>
      <w:pPr>
        <w:pStyle w:val="Heading1"/>
      </w:pPr>
      <w:r>
        <w:t>3. Canonical Adapter Architecture</w:t>
      </w:r>
    </w:p>
    <w:p>
      <w:r>
        <w:t>Learning Session / Session Orchestrator</w:t>
      </w:r>
    </w:p>
    <w:p>
      <w:r>
        <w:t xml:space="preserve">        ↓ provider-neutral operation</w:t>
      </w:r>
    </w:p>
    <w:p>
      <w:r>
        <w:t>Provider Adapter Boundary</w:t>
      </w:r>
    </w:p>
    <w:p>
      <w:r>
        <w:t xml:space="preserve">        ↓ provider-specific translation</w:t>
      </w:r>
    </w:p>
    <w:p>
      <w:r>
        <w:t>Daily / LiveKit / Zoom / Google Meet / YouTube Live</w:t>
      </w:r>
    </w:p>
    <w:p>
      <w:r>
        <w:t xml:space="preserve">        ↓ provider events / state / artifacts</w:t>
      </w:r>
    </w:p>
    <w:p>
      <w:r>
        <w:t>Provider Adapter Boundary</w:t>
      </w:r>
    </w:p>
    <w:p>
      <w:r>
        <w:t xml:space="preserve">        ↓ validate → authenticate/integrity-check → normalize → idempotency → correlate</w:t>
      </w:r>
    </w:p>
    <w:p>
      <w:r>
        <w:t>Participation Evidence / Session State / Artifact Reference</w:t>
      </w:r>
    </w:p>
    <w:p>
      <w:r>
        <w:t xml:space="preserve">        ↓</w:t>
      </w:r>
    </w:p>
    <w:p>
      <w:r>
        <w:t>Attendance Evaluation → Completion Policy → Learning Activity</w:t>
      </w:r>
    </w:p>
    <w:p>
      <w:pPr>
        <w:pStyle w:val="Heading1"/>
      </w:pPr>
      <w:r>
        <w:t>4. Provider-Neutral Contract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Contract category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  <w:tc>
          <w:tcPr>
            <w:tcW w:type="dxa" w:w="3456"/>
          </w:tcPr>
          <w:p>
            <w:r>
              <w:t>Invariant</w:t>
            </w:r>
          </w:p>
        </w:tc>
      </w:tr>
      <w:tr>
        <w:tc>
          <w:tcPr>
            <w:tcW w:type="dxa" w:w="3456"/>
          </w:tcPr>
          <w:p>
            <w:r>
              <w:t>Create / Provision</w:t>
            </w:r>
          </w:p>
        </w:tc>
        <w:tc>
          <w:tcPr>
            <w:tcW w:type="dxa" w:w="3456"/>
          </w:tcPr>
          <w:p>
            <w:r>
              <w:t>Create or prepare provider execution context for a Learning Session.</w:t>
            </w:r>
          </w:p>
        </w:tc>
        <w:tc>
          <w:tcPr>
            <w:tcW w:type="dxa" w:w="3456"/>
          </w:tcPr>
          <w:p>
            <w:r>
              <w:t>Provider Binding; no vendor-specific fields leak into core.</w:t>
            </w:r>
          </w:p>
        </w:tc>
      </w:tr>
      <w:tr>
        <w:tc>
          <w:tcPr>
            <w:tcW w:type="dxa" w:w="3456"/>
          </w:tcPr>
          <w:p>
            <w:r>
              <w:t>Update / Schedule</w:t>
            </w:r>
          </w:p>
        </w:tc>
        <w:tc>
          <w:tcPr>
            <w:tcW w:type="dxa" w:w="3456"/>
          </w:tcPr>
          <w:p>
            <w:r>
              <w:t>Apply schedule or execution configuration.</w:t>
            </w:r>
          </w:p>
        </w:tc>
        <w:tc>
          <w:tcPr>
            <w:tcW w:type="dxa" w:w="3456"/>
          </w:tcPr>
          <w:p>
            <w:r>
              <w:t>Provider-neutral intent; provider capability determines support.</w:t>
            </w:r>
          </w:p>
        </w:tc>
      </w:tr>
      <w:tr>
        <w:tc>
          <w:tcPr>
            <w:tcW w:type="dxa" w:w="3456"/>
          </w:tcPr>
          <w:p>
            <w:r>
              <w:t>Start / Activate</w:t>
            </w:r>
          </w:p>
        </w:tc>
        <w:tc>
          <w:tcPr>
            <w:tcW w:type="dxa" w:w="3456"/>
          </w:tcPr>
          <w:p>
            <w:r>
              <w:t>Initiate or recognize provider execution.</w:t>
            </w:r>
          </w:p>
        </w:tc>
        <w:tc>
          <w:tcPr>
            <w:tcW w:type="dxa" w:w="3456"/>
          </w:tcPr>
          <w:p>
            <w:r>
              <w:t>Provider event may confirm execution but does not define Learning completion.</w:t>
            </w:r>
          </w:p>
        </w:tc>
      </w:tr>
      <w:tr>
        <w:tc>
          <w:tcPr>
            <w:tcW w:type="dxa" w:w="3456"/>
          </w:tcPr>
          <w:p>
            <w:r>
              <w:t>End / Close</w:t>
            </w:r>
          </w:p>
        </w:tc>
        <w:tc>
          <w:tcPr>
            <w:tcW w:type="dxa" w:w="3456"/>
          </w:tcPr>
          <w:p>
            <w:r>
              <w:t>Close/recognize provider execution.</w:t>
            </w:r>
          </w:p>
        </w:tc>
        <w:tc>
          <w:tcPr>
            <w:tcW w:type="dxa" w:w="3456"/>
          </w:tcPr>
          <w:p>
            <w:r>
              <w:t>Provider end event is evidence for session state, not automatic learning completion.</w:t>
            </w:r>
          </w:p>
        </w:tc>
      </w:tr>
      <w:tr>
        <w:tc>
          <w:tcPr>
            <w:tcW w:type="dxa" w:w="3456"/>
          </w:tcPr>
          <w:p>
            <w:r>
              <w:t>Access / Join</w:t>
            </w:r>
          </w:p>
        </w:tc>
        <w:tc>
          <w:tcPr>
            <w:tcW w:type="dxa" w:w="3456"/>
          </w:tcPr>
          <w:p>
            <w:r>
              <w:t>Produce or resolve learner access mechanism.</w:t>
            </w:r>
          </w:p>
        </w:tc>
        <w:tc>
          <w:tcPr>
            <w:tcW w:type="dxa" w:w="3456"/>
          </w:tcPr>
          <w:p>
            <w:r>
              <w:t>Must respect Session Enrollment + Authorization; provider credential/token remains adapter-side.</w:t>
            </w:r>
          </w:p>
        </w:tc>
      </w:tr>
      <w:tr>
        <w:tc>
          <w:tcPr>
            <w:tcW w:type="dxa" w:w="3456"/>
          </w:tcPr>
          <w:p>
            <w:r>
              <w:t>Participant Evidence</w:t>
            </w:r>
          </w:p>
        </w:tc>
        <w:tc>
          <w:tcPr>
            <w:tcW w:type="dxa" w:w="3456"/>
          </w:tcPr>
          <w:p>
            <w:r>
              <w:t>Receive/retrieve participant join/leave/session observations.</w:t>
            </w:r>
          </w:p>
        </w:tc>
        <w:tc>
          <w:tcPr>
            <w:tcW w:type="dxa" w:w="3456"/>
          </w:tcPr>
          <w:p>
            <w:r>
              <w:t>Normalize into Participation Evidence.</w:t>
            </w:r>
          </w:p>
        </w:tc>
      </w:tr>
      <w:tr>
        <w:tc>
          <w:tcPr>
            <w:tcW w:type="dxa" w:w="3456"/>
          </w:tcPr>
          <w:p>
            <w:r>
              <w:t>Recording / Artifact</w:t>
            </w:r>
          </w:p>
        </w:tc>
        <w:tc>
          <w:tcPr>
            <w:tcW w:type="dxa" w:w="3456"/>
          </w:tcPr>
          <w:p>
            <w:r>
              <w:t>Receive recording/artifact availability/reference.</w:t>
            </w:r>
          </w:p>
        </w:tc>
        <w:tc>
          <w:tcPr>
            <w:tcW w:type="dxa" w:w="3456"/>
          </w:tcPr>
          <w:p>
            <w:r>
              <w:t>Optional; separate from attendance/completion.</w:t>
            </w:r>
          </w:p>
        </w:tc>
      </w:tr>
      <w:tr>
        <w:tc>
          <w:tcPr>
            <w:tcW w:type="dxa" w:w="3456"/>
          </w:tcPr>
          <w:p>
            <w:r>
              <w:t>Health / Capability</w:t>
            </w:r>
          </w:p>
        </w:tc>
        <w:tc>
          <w:tcPr>
            <w:tcW w:type="dxa" w:w="3456"/>
          </w:tcPr>
          <w:p>
            <w:r>
              <w:t>Report provider capability, availability or integration health.</w:t>
            </w:r>
          </w:p>
        </w:tc>
        <w:tc>
          <w:tcPr>
            <w:tcW w:type="dxa" w:w="3456"/>
          </w:tcPr>
          <w:p>
            <w:r>
              <w:t>Used for selection/verification; not a universal provider ranking.</w:t>
            </w:r>
          </w:p>
        </w:tc>
      </w:tr>
      <w:tr>
        <w:tc>
          <w:tcPr>
            <w:tcW w:type="dxa" w:w="3456"/>
          </w:tcPr>
          <w:p>
            <w:r>
              <w:t>Provider Switch</w:t>
            </w:r>
          </w:p>
        </w:tc>
        <w:tc>
          <w:tcPr>
            <w:tcW w:type="dxa" w:w="3456"/>
          </w:tcPr>
          <w:p>
            <w:r>
              <w:t>Detach/replace provider binding while preserving semantic session identity/history.</w:t>
            </w:r>
          </w:p>
        </w:tc>
        <w:tc>
          <w:tcPr>
            <w:tcW w:type="dxa" w:w="3456"/>
          </w:tcPr>
          <w:p>
            <w:r>
              <w:t>Must not reset enrollment, valid evidence or learning outcome.</w:t>
            </w:r>
          </w:p>
        </w:tc>
      </w:tr>
      <w:tr>
        <w:tc>
          <w:tcPr>
            <w:tcW w:type="dxa" w:w="3456"/>
          </w:tcPr>
          <w:p>
            <w:r>
              <w:t>Webhook/Event Ingestion</w:t>
            </w:r>
          </w:p>
        </w:tc>
        <w:tc>
          <w:tcPr>
            <w:tcW w:type="dxa" w:w="3456"/>
          </w:tcPr>
          <w:p>
            <w:r>
              <w:t>Receive provider-originated asynchronous events.</w:t>
            </w:r>
          </w:p>
        </w:tc>
        <w:tc>
          <w:tcPr>
            <w:tcW w:type="dxa" w:w="3456"/>
          </w:tcPr>
          <w:p>
            <w:r>
              <w:t>Validate, normalize, correlate, idempotently process, audit.</w:t>
            </w:r>
          </w:p>
        </w:tc>
      </w:tr>
    </w:tbl>
    <w:p>
      <w:pPr>
        <w:pStyle w:val="Heading1"/>
      </w:pPr>
      <w:r>
        <w:t>5. Normalized Event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Normalized event</w:t>
            </w:r>
          </w:p>
        </w:tc>
        <w:tc>
          <w:tcPr>
            <w:tcW w:type="dxa" w:w="3456"/>
          </w:tcPr>
          <w:p>
            <w:r>
              <w:t>Semantic meaning</w:t>
            </w:r>
          </w:p>
        </w:tc>
        <w:tc>
          <w:tcPr>
            <w:tcW w:type="dxa" w:w="3456"/>
          </w:tcPr>
          <w:p>
            <w:r>
              <w:t>Rule</w:t>
            </w:r>
          </w:p>
        </w:tc>
      </w:tr>
      <w:tr>
        <w:tc>
          <w:tcPr>
            <w:tcW w:type="dxa" w:w="3456"/>
          </w:tcPr>
          <w:p>
            <w:r>
              <w:t>SESSION_STARTED</w:t>
            </w:r>
          </w:p>
        </w:tc>
        <w:tc>
          <w:tcPr>
            <w:tcW w:type="dxa" w:w="3456"/>
          </w:tcPr>
          <w:p>
            <w:r>
              <w:t>Provider indicates execution started.</w:t>
            </w:r>
          </w:p>
        </w:tc>
        <w:tc>
          <w:tcPr>
            <w:tcW w:type="dxa" w:w="3456"/>
          </w:tcPr>
          <w:p>
            <w:r>
              <w:t>May contribute to Learning Session LIVE evidence.</w:t>
            </w:r>
          </w:p>
        </w:tc>
      </w:tr>
      <w:tr>
        <w:tc>
          <w:tcPr>
            <w:tcW w:type="dxa" w:w="3456"/>
          </w:tcPr>
          <w:p>
            <w:r>
              <w:t>SESSION_ENDED</w:t>
            </w:r>
          </w:p>
        </w:tc>
        <w:tc>
          <w:tcPr>
            <w:tcW w:type="dxa" w:w="3456"/>
          </w:tcPr>
          <w:p>
            <w:r>
              <w:t>Provider indicates execution ended.</w:t>
            </w:r>
          </w:p>
        </w:tc>
        <w:tc>
          <w:tcPr>
            <w:tcW w:type="dxa" w:w="3456"/>
          </w:tcPr>
          <w:p>
            <w:r>
              <w:t>May contribute to Learning Session ENDED evidence.</w:t>
            </w:r>
          </w:p>
        </w:tc>
      </w:tr>
      <w:tr>
        <w:tc>
          <w:tcPr>
            <w:tcW w:type="dxa" w:w="3456"/>
          </w:tcPr>
          <w:p>
            <w:r>
              <w:t>PARTICIPANT_JOINED</w:t>
            </w:r>
          </w:p>
        </w:tc>
        <w:tc>
          <w:tcPr>
            <w:tcW w:type="dxa" w:w="3456"/>
          </w:tcPr>
          <w:p>
            <w:r>
              <w:t>Participant joins.</w:t>
            </w:r>
          </w:p>
        </w:tc>
        <w:tc>
          <w:tcPr>
            <w:tcW w:type="dxa" w:w="3456"/>
          </w:tcPr>
          <w:p>
            <w:r>
              <w:t>Normalize into participation evidence.</w:t>
            </w:r>
          </w:p>
        </w:tc>
      </w:tr>
      <w:tr>
        <w:tc>
          <w:tcPr>
            <w:tcW w:type="dxa" w:w="3456"/>
          </w:tcPr>
          <w:p>
            <w:r>
              <w:t>PARTICIPANT_LEFT</w:t>
            </w:r>
          </w:p>
        </w:tc>
        <w:tc>
          <w:tcPr>
            <w:tcW w:type="dxa" w:w="3456"/>
          </w:tcPr>
          <w:p>
            <w:r>
              <w:t>Participant leaves.</w:t>
            </w:r>
          </w:p>
        </w:tc>
        <w:tc>
          <w:tcPr>
            <w:tcW w:type="dxa" w:w="3456"/>
          </w:tcPr>
          <w:p>
            <w:r>
              <w:t>Normalize into participation evidence.</w:t>
            </w:r>
          </w:p>
        </w:tc>
      </w:tr>
      <w:tr>
        <w:tc>
          <w:tcPr>
            <w:tcW w:type="dxa" w:w="3456"/>
          </w:tcPr>
          <w:p>
            <w:r>
              <w:t>PARTICIPANT_RECONNECTED</w:t>
            </w:r>
          </w:p>
        </w:tc>
        <w:tc>
          <w:tcPr>
            <w:tcW w:type="dxa" w:w="3456"/>
          </w:tcPr>
          <w:p>
            <w:r>
              <w:t>Participant reconnects after interruption where provider exposes it.</w:t>
            </w:r>
          </w:p>
        </w:tc>
        <w:tc>
          <w:tcPr>
            <w:tcW w:type="dxa" w:w="3456"/>
          </w:tcPr>
          <w:p>
            <w:r>
              <w:t>Append/normalize evidence; do not double-count.</w:t>
            </w:r>
          </w:p>
        </w:tc>
      </w:tr>
      <w:tr>
        <w:tc>
          <w:tcPr>
            <w:tcW w:type="dxa" w:w="3456"/>
          </w:tcPr>
          <w:p>
            <w:r>
              <w:t>RECORDING_AVAILABLE</w:t>
            </w:r>
          </w:p>
        </w:tc>
        <w:tc>
          <w:tcPr>
            <w:tcW w:type="dxa" w:w="3456"/>
          </w:tcPr>
          <w:p>
            <w:r>
              <w:t>Recording/artifact becomes available.</w:t>
            </w:r>
          </w:p>
        </w:tc>
        <w:tc>
          <w:tcPr>
            <w:tcW w:type="dxa" w:w="3456"/>
          </w:tcPr>
          <w:p>
            <w:r>
              <w:t>Create/update artifact reference.</w:t>
            </w:r>
          </w:p>
        </w:tc>
      </w:tr>
      <w:tr>
        <w:tc>
          <w:tcPr>
            <w:tcW w:type="dxa" w:w="3456"/>
          </w:tcPr>
          <w:p>
            <w:r>
              <w:t>SESSION_FAILED / PROVIDER_ERROR</w:t>
            </w:r>
          </w:p>
        </w:tc>
        <w:tc>
          <w:tcPr>
            <w:tcW w:type="dxa" w:w="3456"/>
          </w:tcPr>
          <w:p>
            <w:r>
              <w:t>Provider reports execution failure.</w:t>
            </w:r>
          </w:p>
        </w:tc>
        <w:tc>
          <w:tcPr>
            <w:tcW w:type="dxa" w:w="3456"/>
          </w:tcPr>
          <w:p>
            <w:r>
              <w:t>Correlate/audit; may contribute to Learning Session FAILED handling.</w:t>
            </w:r>
          </w:p>
        </w:tc>
      </w:tr>
      <w:tr>
        <w:tc>
          <w:tcPr>
            <w:tcW w:type="dxa" w:w="3456"/>
          </w:tcPr>
          <w:p>
            <w:r>
              <w:t>UNKNOWN_PROVIDER_EVENT</w:t>
            </w:r>
          </w:p>
        </w:tc>
        <w:tc>
          <w:tcPr>
            <w:tcW w:type="dxa" w:w="3456"/>
          </w:tcPr>
          <w:p>
            <w:r>
              <w:t>Event not mapped by current adapter version.</w:t>
            </w:r>
          </w:p>
        </w:tc>
        <w:tc>
          <w:tcPr>
            <w:tcW w:type="dxa" w:w="3456"/>
          </w:tcPr>
          <w:p>
            <w:r>
              <w:t>Persist safely for audit/replay or quarantine; must not mutate business outcome by default.</w:t>
            </w:r>
          </w:p>
        </w:tc>
      </w:tr>
    </w:tbl>
    <w:p>
      <w:pPr>
        <w:pStyle w:val="Heading1"/>
      </w:pPr>
      <w:r>
        <w:t>6. Integrity / Idempotency Boundary</w:t>
      </w:r>
    </w:p>
    <w:p>
      <w:pPr>
        <w:pStyle w:val="ListBullet"/>
      </w:pPr>
      <w:r>
        <w:t>Provider webhook/event receipt is not itself authoritative Learning state.</w:t>
      </w:r>
    </w:p>
    <w:p>
      <w:pPr>
        <w:pStyle w:val="ListBullet"/>
      </w:pPr>
      <w:r>
        <w:t>Every accepted inbound event should carry or derive a stable correlation identity sufficient to detect duplicates.</w:t>
      </w:r>
    </w:p>
    <w:p>
      <w:pPr>
        <w:pStyle w:val="ListBullet"/>
      </w:pPr>
      <w:r>
        <w:t>Provider-specific event IDs, timestamps and external session/participant identifiers should be retained as provenance where available.</w:t>
      </w:r>
    </w:p>
    <w:p>
      <w:pPr>
        <w:pStyle w:val="ListBullet"/>
      </w:pPr>
      <w:r>
        <w:t>Duplicate delivery must be safely absorbed; one provider event must not create duplicate attendance evidence or duplicate downstream learning outcomes.</w:t>
      </w:r>
    </w:p>
    <w:p>
      <w:pPr>
        <w:pStyle w:val="ListBullet"/>
      </w:pPr>
      <w:r>
        <w:t>Out-of-order events must not corrupt the semantic lifecycle; processing must use event time plus current domain state and preserve evidence history.</w:t>
      </w:r>
    </w:p>
    <w:p>
      <w:pPr>
        <w:pStyle w:val="ListBullet"/>
      </w:pPr>
      <w:r>
        <w:t>Invalid/unverifiable events must be rejected, quarantined, or marked non-authoritative without mutating Learning outcomes.</w:t>
      </w:r>
    </w:p>
    <w:p>
      <w:pPr>
        <w:pStyle w:val="ListBullet"/>
      </w:pPr>
      <w:r>
        <w:t>Provider credentials/secrets remain behind the adapter/security boundary.</w:t>
      </w:r>
    </w:p>
    <w:p>
      <w:pPr>
        <w:pStyle w:val="ListBullet"/>
      </w:pPr>
      <w:r>
        <w:t>Historical provider bindings and evidence must remain reconstructable after provider switching.</w:t>
      </w:r>
    </w:p>
    <w:p>
      <w:pPr>
        <w:pStyle w:val="Heading1"/>
      </w:pPr>
      <w:r>
        <w:t>7. Current Provider Capability Evidence — 2026 Verification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Provider</w:t>
            </w:r>
          </w:p>
        </w:tc>
        <w:tc>
          <w:tcPr>
            <w:tcW w:type="dxa" w:w="2592"/>
          </w:tcPr>
          <w:p>
            <w:r>
              <w:t>Verified capability evidence</w:t>
            </w:r>
          </w:p>
        </w:tc>
        <w:tc>
          <w:tcPr>
            <w:tcW w:type="dxa" w:w="2592"/>
          </w:tcPr>
          <w:p>
            <w:r>
              <w:t>Architecture implication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</w:tr>
      <w:tr>
        <w:tc>
          <w:tcPr>
            <w:tcW w:type="dxa" w:w="2592"/>
          </w:tcPr>
          <w:p>
            <w:r>
              <w:t>Daily</w:t>
            </w:r>
          </w:p>
        </w:tc>
        <w:tc>
          <w:tcPr>
            <w:tcW w:type="dxa" w:w="2592"/>
          </w:tcPr>
          <w:p>
            <w:r>
              <w:t>Room creation; participant join/leave webhooks; meeting started/ended; recording/transcript events; room presence; room max participants configuration; webhook HMAC verification.</w:t>
            </w:r>
          </w:p>
        </w:tc>
        <w:tc>
          <w:tcPr>
            <w:tcW w:type="dxa" w:w="2592"/>
          </w:tcPr>
          <w:p>
            <w:r>
              <w:t>Strong fit for interactive sessions; webhook access has account-plan constraints in current docs.</w:t>
            </w:r>
          </w:p>
        </w:tc>
        <w:tc>
          <w:tcPr>
            <w:tcW w:type="dxa" w:w="2592"/>
          </w:tcPr>
          <w:p>
            <w:r>
              <w:t>Not locked as mandatory provider.</w:t>
            </w:r>
          </w:p>
        </w:tc>
      </w:tr>
      <w:tr>
        <w:tc>
          <w:tcPr>
            <w:tcW w:type="dxa" w:w="2592"/>
          </w:tcPr>
          <w:p>
            <w:r>
              <w:t>LiveKit</w:t>
            </w:r>
          </w:p>
        </w:tc>
        <w:tc>
          <w:tcPr>
            <w:tcW w:type="dxa" w:w="2592"/>
          </w:tcPr>
          <w:p>
            <w:r>
              <w:t>Room/participant/track APIs; server webhooks; participant_joined/left; room_started/finished; egress events; signed webhook JWT; backend Room Service API.</w:t>
            </w:r>
          </w:p>
        </w:tc>
        <w:tc>
          <w:tcPr>
            <w:tcW w:type="dxa" w:w="2592"/>
          </w:tcPr>
          <w:p>
            <w:r>
              <w:t>Strong fit for interactive sessions and granular evidence; self-hosted/cloud choices need operational verification.</w:t>
            </w:r>
          </w:p>
        </w:tc>
        <w:tc>
          <w:tcPr>
            <w:tcW w:type="dxa" w:w="2592"/>
          </w:tcPr>
          <w:p>
            <w:r>
              <w:t>Not locked as mandatory provider.</w:t>
            </w:r>
          </w:p>
        </w:tc>
      </w:tr>
      <w:tr>
        <w:tc>
          <w:tcPr>
            <w:tcW w:type="dxa" w:w="2592"/>
          </w:tcPr>
          <w:p>
            <w:r>
              <w:t>Zoom</w:t>
            </w:r>
          </w:p>
        </w:tc>
        <w:tc>
          <w:tcPr>
            <w:tcW w:type="dxa" w:w="2592"/>
          </w:tcPr>
          <w:p>
            <w:r>
              <w:t>Meeting/Webinar APIs; meeting/webinar webhooks; participant-related events; meeting creation; recording-related webhook events; account/scopes/rate-limit prerequisites.</w:t>
            </w:r>
          </w:p>
        </w:tc>
        <w:tc>
          <w:tcPr>
            <w:tcW w:type="dxa" w:w="2592"/>
          </w:tcPr>
          <w:p>
            <w:r>
              <w:t>Strong fit, but exact account/app/scopes and event coverage must be verified for intended deployment.</w:t>
            </w:r>
          </w:p>
        </w:tc>
        <w:tc>
          <w:tcPr>
            <w:tcW w:type="dxa" w:w="2592"/>
          </w:tcPr>
          <w:p>
            <w:r>
              <w:t>Not locked as mandatory provider.</w:t>
            </w:r>
          </w:p>
        </w:tc>
      </w:tr>
      <w:tr>
        <w:tc>
          <w:tcPr>
            <w:tcW w:type="dxa" w:w="2592"/>
          </w:tcPr>
          <w:p>
            <w:r>
              <w:t>Google Meet</w:t>
            </w:r>
          </w:p>
        </w:tc>
        <w:tc>
          <w:tcPr>
            <w:tcW w:type="dxa" w:w="2592"/>
          </w:tcPr>
          <w:p>
            <w:r>
              <w:t>Meet REST API exposes conferenceRecords and participant resources, including earliestStartTime/latestEndTime; participant sessions expose join/leave sessions; authorization scopes are required; conference records have server expiration.</w:t>
            </w:r>
          </w:p>
        </w:tc>
        <w:tc>
          <w:tcPr>
            <w:tcW w:type="dxa" w:w="2592"/>
          </w:tcPr>
          <w:p>
            <w:r>
              <w:t>Strong evidence retrieval model, but integration is more authorization/report-oriented than a universal real-time webhook model in the evidence checked.</w:t>
            </w:r>
          </w:p>
        </w:tc>
        <w:tc>
          <w:tcPr>
            <w:tcW w:type="dxa" w:w="2592"/>
          </w:tcPr>
          <w:p>
            <w:r>
              <w:t>Not locked as mandatory provider.</w:t>
            </w:r>
          </w:p>
        </w:tc>
      </w:tr>
      <w:tr>
        <w:tc>
          <w:tcPr>
            <w:tcW w:type="dxa" w:w="2592"/>
          </w:tcPr>
          <w:p>
            <w:r>
              <w:t>YouTube Live</w:t>
            </w:r>
          </w:p>
        </w:tc>
        <w:tc>
          <w:tcPr>
            <w:tcW w:type="dxa" w:w="2592"/>
          </w:tcPr>
          <w:p>
            <w:r>
              <w:t>LiveBroadcasts and LiveStreams APIs support broadcast/stream creation, binding and lifecycle; live chat API supports live-chat messages while event is active.</w:t>
            </w:r>
          </w:p>
        </w:tc>
        <w:tc>
          <w:tcPr>
            <w:tcW w:type="dxa" w:w="2592"/>
          </w:tcPr>
          <w:p>
            <w:r>
              <w:t>Strong fit for BROADCAST / public streaming; not equivalent to interactive participant attendance provider.</w:t>
            </w:r>
          </w:p>
        </w:tc>
        <w:tc>
          <w:tcPr>
            <w:tcW w:type="dxa" w:w="2592"/>
          </w:tcPr>
          <w:p>
            <w:r>
              <w:t>Not locked as mandatory provider.</w:t>
            </w:r>
          </w:p>
        </w:tc>
      </w:tr>
    </w:tbl>
    <w:p>
      <w:pPr>
        <w:pStyle w:val="Heading1"/>
      </w:pPr>
      <w:r>
        <w:t>8. Important Provider Differences</w:t>
      </w:r>
    </w:p>
    <w:p>
      <w:pPr>
        <w:pStyle w:val="ListBullet"/>
      </w:pPr>
      <w:r>
        <w:t>Daily and LiveKit expose relatively direct participant/session event streams suitable for normalized real-time evidence. Daily documents participant.joined/left and meeting.started/ended; LiveKit documents participant_joined/left and room_started/finished webhooks. citeturn1search3turn0search0</w:t>
      </w:r>
    </w:p>
    <w:p>
      <w:pPr>
        <w:pStyle w:val="ListBullet"/>
      </w:pPr>
      <w:r>
        <w:t>Zoom exposes meeting/webinar webhook events with meeting IDs/UUIDs and participant information; exact app/account scope prerequisites and rate limits remain deployment verification items. citeturn3search0turn3search1</w:t>
      </w:r>
    </w:p>
    <w:p>
      <w:pPr>
        <w:pStyle w:val="ListBullet"/>
      </w:pPr>
      <w:r>
        <w:t>Google Meet exposes conference records, participant resources and participant sessions with first-join/last-leave or per-join-session timestamps, but conference records have an expiration period and access requires appropriate OAuth scopes. citeturn0search1turn0search4turn0search10</w:t>
      </w:r>
    </w:p>
    <w:p>
      <w:pPr>
        <w:pStyle w:val="ListBullet"/>
      </w:pPr>
      <w:r>
        <w:t>YouTube Live is architecturally different: a liveBroadcast is the live event/video and is bound to a liveStream; live chat is a separate interaction resource. It should therefore map primarily to BROADCAST semantics rather than pretending to be equivalent to a participant-centric interactive room. citeturn2search0turn2search1turn1search4</w:t>
      </w:r>
    </w:p>
    <w:p>
      <w:pPr>
        <w:pStyle w:val="ListBullet"/>
      </w:pPr>
      <w:r>
        <w:t>Daily currently documents webhook signing via HMAC and event IDs/timestamps; LiveKit documents signed JWT webhook validation and event IDs. These support the AEP4 integrity boundary but do not define RUMAHAGEN's final idempotency implementation. citeturn1search3turn0search0</w:t>
      </w:r>
    </w:p>
    <w:p>
      <w:pPr>
        <w:pStyle w:val="Heading1"/>
      </w:pPr>
      <w:r>
        <w:t>9. Provider Capability Matrix — Logical Requirement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</w:tcPr>
          <w:p>
            <w:r>
              <w:t>Requirement</w:t>
            </w:r>
          </w:p>
        </w:tc>
        <w:tc>
          <w:tcPr>
            <w:tcW w:type="dxa" w:w="1481"/>
          </w:tcPr>
          <w:p>
            <w:r>
              <w:t>Daily</w:t>
            </w:r>
          </w:p>
        </w:tc>
        <w:tc>
          <w:tcPr>
            <w:tcW w:type="dxa" w:w="1481"/>
          </w:tcPr>
          <w:p>
            <w:r>
              <w:t>LiveKit</w:t>
            </w:r>
          </w:p>
        </w:tc>
        <w:tc>
          <w:tcPr>
            <w:tcW w:type="dxa" w:w="1481"/>
          </w:tcPr>
          <w:p>
            <w:r>
              <w:t>Zoom</w:t>
            </w:r>
          </w:p>
        </w:tc>
        <w:tc>
          <w:tcPr>
            <w:tcW w:type="dxa" w:w="1481"/>
          </w:tcPr>
          <w:p>
            <w:r>
              <w:t>Google Meet</w:t>
            </w:r>
          </w:p>
        </w:tc>
        <w:tc>
          <w:tcPr>
            <w:tcW w:type="dxa" w:w="1481"/>
          </w:tcPr>
          <w:p>
            <w:r>
              <w:t>YouTube Live</w:t>
            </w:r>
          </w:p>
        </w:tc>
        <w:tc>
          <w:tcPr>
            <w:tcW w:type="dxa" w:w="1481"/>
          </w:tcPr>
          <w:p>
            <w:r>
              <w:t>Authority</w:t>
            </w:r>
          </w:p>
        </w:tc>
      </w:tr>
      <w:tr>
        <w:tc>
          <w:tcPr>
            <w:tcW w:type="dxa" w:w="1481"/>
          </w:tcPr>
          <w:p>
            <w:r>
              <w:t>Create/Manage session context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Conditional</w:t>
            </w:r>
          </w:p>
        </w:tc>
        <w:tc>
          <w:tcPr>
            <w:tcW w:type="dxa" w:w="1481"/>
          </w:tcPr>
          <w:p>
            <w:r>
              <w:t>Required for broadcast</w:t>
            </w:r>
          </w:p>
        </w:tc>
        <w:tc>
          <w:tcPr>
            <w:tcW w:type="dxa" w:w="1481"/>
          </w:tcPr>
          <w:p>
            <w:r>
              <w:t>AEP4 Adapter</w:t>
            </w:r>
          </w:p>
        </w:tc>
      </w:tr>
      <w:tr>
        <w:tc>
          <w:tcPr>
            <w:tcW w:type="dxa" w:w="1481"/>
          </w:tcPr>
          <w:p>
            <w:r>
              <w:t>Schedule / start / end control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Partial/authorization dependent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AEP4 Adapter</w:t>
            </w:r>
          </w:p>
        </w:tc>
      </w:tr>
      <w:tr>
        <w:tc>
          <w:tcPr>
            <w:tcW w:type="dxa" w:w="1481"/>
          </w:tcPr>
          <w:p>
            <w:r>
              <w:t>Participant join/leave evidence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Required</w:t>
            </w:r>
          </w:p>
        </w:tc>
        <w:tc>
          <w:tcPr>
            <w:tcW w:type="dxa" w:w="1481"/>
          </w:tcPr>
          <w:p>
            <w:r>
              <w:t>Available via conference records/sessions</w:t>
            </w:r>
          </w:p>
        </w:tc>
        <w:tc>
          <w:tcPr>
            <w:tcW w:type="dxa" w:w="1481"/>
          </w:tcPr>
          <w:p>
            <w:r>
              <w:t>Not equivalent to interactive participant attendance</w:t>
            </w:r>
          </w:p>
        </w:tc>
        <w:tc>
          <w:tcPr>
            <w:tcW w:type="dxa" w:w="1481"/>
          </w:tcPr>
          <w:p>
            <w:r>
              <w:t>AEP4 Adapter</w:t>
            </w:r>
          </w:p>
        </w:tc>
      </w:tr>
      <w:tr>
        <w:tc>
          <w:tcPr>
            <w:tcW w:type="dxa" w:w="1481"/>
          </w:tcPr>
          <w:p>
            <w:r>
              <w:t>Real-time webhook/event ingestion</w:t>
            </w:r>
          </w:p>
        </w:tc>
        <w:tc>
          <w:tcPr>
            <w:tcW w:type="dxa" w:w="1481"/>
          </w:tcPr>
          <w:p>
            <w:r>
              <w:t>Preferred</w:t>
            </w:r>
          </w:p>
        </w:tc>
        <w:tc>
          <w:tcPr>
            <w:tcW w:type="dxa" w:w="1481"/>
          </w:tcPr>
          <w:p>
            <w:r>
              <w:t>Preferred</w:t>
            </w:r>
          </w:p>
        </w:tc>
        <w:tc>
          <w:tcPr>
            <w:tcW w:type="dxa" w:w="1481"/>
          </w:tcPr>
          <w:p>
            <w:r>
              <w:t>Preferred</w:t>
            </w:r>
          </w:p>
        </w:tc>
        <w:tc>
          <w:tcPr>
            <w:tcW w:type="dxa" w:w="1481"/>
          </w:tcPr>
          <w:p>
            <w:r>
              <w:t>Not treated as locked from current evidence</w:t>
            </w:r>
          </w:p>
        </w:tc>
        <w:tc>
          <w:tcPr>
            <w:tcW w:type="dxa" w:w="1481"/>
          </w:tcPr>
          <w:p>
            <w:r>
              <w:t>Live chat is real-time interaction, not attendance evidence</w:t>
            </w:r>
          </w:p>
        </w:tc>
        <w:tc>
          <w:tcPr>
            <w:tcW w:type="dxa" w:w="1481"/>
          </w:tcPr>
          <w:p>
            <w:r>
              <w:t>AEP4 Adapter</w:t>
            </w:r>
          </w:p>
        </w:tc>
      </w:tr>
      <w:tr>
        <w:tc>
          <w:tcPr>
            <w:tcW w:type="dxa" w:w="1481"/>
          </w:tcPr>
          <w:p>
            <w:r>
              <w:t>Recording/artifact evidence</w:t>
            </w:r>
          </w:p>
        </w:tc>
        <w:tc>
          <w:tcPr>
            <w:tcW w:type="dxa" w:w="1481"/>
          </w:tcPr>
          <w:p>
            <w:r>
              <w:t>Supported capability</w:t>
            </w:r>
          </w:p>
        </w:tc>
        <w:tc>
          <w:tcPr>
            <w:tcW w:type="dxa" w:w="1481"/>
          </w:tcPr>
          <w:p>
            <w:r>
              <w:t>Supported via egress</w:t>
            </w:r>
          </w:p>
        </w:tc>
        <w:tc>
          <w:tcPr>
            <w:tcW w:type="dxa" w:w="1481"/>
          </w:tcPr>
          <w:p>
            <w:r>
              <w:t>Supported</w:t>
            </w:r>
          </w:p>
        </w:tc>
        <w:tc>
          <w:tcPr>
            <w:tcW w:type="dxa" w:w="1481"/>
          </w:tcPr>
          <w:p>
            <w:r>
              <w:t>Provider-dependent</w:t>
            </w:r>
          </w:p>
        </w:tc>
        <w:tc>
          <w:tcPr>
            <w:tcW w:type="dxa" w:w="1481"/>
          </w:tcPr>
          <w:p>
            <w:r>
              <w:t>Broadcast recording/archive</w:t>
            </w:r>
          </w:p>
        </w:tc>
        <w:tc>
          <w:tcPr>
            <w:tcW w:type="dxa" w:w="1481"/>
          </w:tcPr>
          <w:p>
            <w:r>
              <w:t>AEP4 Adapter</w:t>
            </w:r>
          </w:p>
        </w:tc>
      </w:tr>
      <w:tr>
        <w:tc>
          <w:tcPr>
            <w:tcW w:type="dxa" w:w="1481"/>
          </w:tcPr>
          <w:p>
            <w:r>
              <w:t>Semantic session identity</w:t>
            </w:r>
          </w:p>
        </w:tc>
        <w:tc>
          <w:tcPr>
            <w:tcW w:type="dxa" w:w="1481"/>
          </w:tcPr>
          <w:p>
            <w:r>
              <w:t>RUMAHAGEN</w:t>
            </w:r>
          </w:p>
        </w:tc>
        <w:tc>
          <w:tcPr>
            <w:tcW w:type="dxa" w:w="1481"/>
          </w:tcPr>
          <w:p>
            <w:r>
              <w:t>RUMAHAGEN</w:t>
            </w:r>
          </w:p>
        </w:tc>
        <w:tc>
          <w:tcPr>
            <w:tcW w:type="dxa" w:w="1481"/>
          </w:tcPr>
          <w:p>
            <w:r>
              <w:t>RUMAHAGEN</w:t>
            </w:r>
          </w:p>
        </w:tc>
        <w:tc>
          <w:tcPr>
            <w:tcW w:type="dxa" w:w="1481"/>
          </w:tcPr>
          <w:p>
            <w:r>
              <w:t>RUMAHAGEN</w:t>
            </w:r>
          </w:p>
        </w:tc>
        <w:tc>
          <w:tcPr>
            <w:tcW w:type="dxa" w:w="1481"/>
          </w:tcPr>
          <w:p>
            <w:r>
              <w:t>RUMAHAGEN</w:t>
            </w:r>
          </w:p>
        </w:tc>
        <w:tc>
          <w:tcPr>
            <w:tcW w:type="dxa" w:w="1481"/>
          </w:tcPr>
          <w:p>
            <w:r>
              <w:t>AEP4 Adapter</w:t>
            </w:r>
          </w:p>
        </w:tc>
      </w:tr>
      <w:tr>
        <w:tc>
          <w:tcPr>
            <w:tcW w:type="dxa" w:w="1481"/>
          </w:tcPr>
          <w:p>
            <w:r>
              <w:t>Provider switching</w:t>
            </w:r>
          </w:p>
        </w:tc>
        <w:tc>
          <w:tcPr>
            <w:tcW w:type="dxa" w:w="1481"/>
          </w:tcPr>
          <w:p>
            <w:r>
              <w:t>Adapter responsibility</w:t>
            </w:r>
          </w:p>
        </w:tc>
        <w:tc>
          <w:tcPr>
            <w:tcW w:type="dxa" w:w="1481"/>
          </w:tcPr>
          <w:p>
            <w:r>
              <w:t>Adapter responsibility</w:t>
            </w:r>
          </w:p>
        </w:tc>
        <w:tc>
          <w:tcPr>
            <w:tcW w:type="dxa" w:w="1481"/>
          </w:tcPr>
          <w:p>
            <w:r>
              <w:t>Adapter responsibility</w:t>
            </w:r>
          </w:p>
        </w:tc>
        <w:tc>
          <w:tcPr>
            <w:tcW w:type="dxa" w:w="1481"/>
          </w:tcPr>
          <w:p>
            <w:r>
              <w:t>Adapter responsibility</w:t>
            </w:r>
          </w:p>
        </w:tc>
        <w:tc>
          <w:tcPr>
            <w:tcW w:type="dxa" w:w="1481"/>
          </w:tcPr>
          <w:p>
            <w:r>
              <w:t>Adapter responsibility</w:t>
            </w:r>
          </w:p>
        </w:tc>
        <w:tc>
          <w:tcPr>
            <w:tcW w:type="dxa" w:w="1481"/>
          </w:tcPr>
          <w:p>
            <w:r>
              <w:t>AEP4 Adapter</w:t>
            </w:r>
          </w:p>
        </w:tc>
      </w:tr>
    </w:tbl>
    <w:p>
      <w:pPr>
        <w:pStyle w:val="Heading1"/>
      </w:pPr>
      <w:r>
        <w:t>10. Automatic Failover — Still OPEN</w:t>
      </w:r>
    </w:p>
    <w:p>
      <w:r>
        <w:t>The current evidence is sufficient to design provider replacement, but not sufficient to approve automatic cross-provider failover. Differences in room/broadcast semantics, identity, participant evidence, authorization, quotas, plans, and operational state mean that failover could create non-equivalent execution behavior. Therefore OD-08 remains OPEN/DEFERRED exactly as governed. fileciteturn9file0</w:t>
      </w:r>
    </w:p>
    <w:p>
      <w:r>
        <w:t>Approved behavior remains: provider binding may change while semantic session identity/history, enrollment, valid evidence and learning outcome continuity are preserved.</w:t>
      </w:r>
    </w:p>
    <w:p>
      <w:pPr>
        <w:pStyle w:val="Heading1"/>
      </w:pPr>
      <w:r>
        <w:t>11. Open / Deferred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Item</w:t>
            </w:r>
          </w:p>
        </w:tc>
        <w:tc>
          <w:tcPr>
            <w:tcW w:type="dxa" w:w="2592"/>
          </w:tcPr>
          <w:p>
            <w:r>
              <w:t>Question</w:t>
            </w:r>
          </w:p>
        </w:tc>
        <w:tc>
          <w:tcPr>
            <w:tcW w:type="dxa" w:w="2592"/>
          </w:tcPr>
          <w:p>
            <w:r>
              <w:t>Status</w:t>
            </w:r>
          </w:p>
        </w:tc>
        <w:tc>
          <w:tcPr>
            <w:tcW w:type="dxa" w:w="2592"/>
          </w:tcPr>
          <w:p>
            <w:r>
              <w:t>Next handling</w:t>
            </w:r>
          </w:p>
        </w:tc>
      </w:tr>
      <w:tr>
        <w:tc>
          <w:tcPr>
            <w:tcW w:type="dxa" w:w="2592"/>
          </w:tcPr>
          <w:p>
            <w:r>
              <w:t>AEP4-OD-08</w:t>
            </w:r>
          </w:p>
        </w:tc>
        <w:tc>
          <w:tcPr>
            <w:tcW w:type="dxa" w:w="2592"/>
          </w:tcPr>
          <w:p>
            <w:r>
              <w:t>Automatic cross-provider failover</w:t>
            </w:r>
          </w:p>
        </w:tc>
        <w:tc>
          <w:tcPr>
            <w:tcW w:type="dxa" w:w="2592"/>
          </w:tcPr>
          <w:p>
            <w:r>
              <w:t>OPEN / DEFERRED</w:t>
            </w:r>
          </w:p>
        </w:tc>
        <w:tc>
          <w:tcPr>
            <w:tcW w:type="dxa" w:w="2592"/>
          </w:tcPr>
          <w:p>
            <w:r>
              <w:t>Requires capability + operational verification.</w:t>
            </w:r>
          </w:p>
        </w:tc>
      </w:tr>
      <w:tr>
        <w:tc>
          <w:tcPr>
            <w:tcW w:type="dxa" w:w="2592"/>
          </w:tcPr>
          <w:p>
            <w:r>
              <w:t>Provider selection</w:t>
            </w:r>
          </w:p>
        </w:tc>
        <w:tc>
          <w:tcPr>
            <w:tcW w:type="dxa" w:w="2592"/>
          </w:tcPr>
          <w:p>
            <w:r>
              <w:t>No universal priority</w:t>
            </w:r>
          </w:p>
        </w:tc>
        <w:tc>
          <w:tcPr>
            <w:tcW w:type="dxa" w:w="2592"/>
          </w:tcPr>
          <w:p>
            <w:r>
              <w:t>APPROVED</w:t>
            </w:r>
          </w:p>
        </w:tc>
        <w:tc>
          <w:tcPr>
            <w:tcW w:type="dxa" w:w="2592"/>
          </w:tcPr>
          <w:p>
            <w:r>
              <w:t>Selection policy remains provider-agnostic.</w:t>
            </w:r>
          </w:p>
        </w:tc>
      </w:tr>
      <w:tr>
        <w:tc>
          <w:tcPr>
            <w:tcW w:type="dxa" w:w="2592"/>
          </w:tcPr>
          <w:p>
            <w:r>
              <w:t>Provider account model</w:t>
            </w:r>
          </w:p>
        </w:tc>
        <w:tc>
          <w:tcPr>
            <w:tcW w:type="dxa" w:w="2592"/>
          </w:tcPr>
          <w:p>
            <w:r>
              <w:t>OAuth/service account/app ownership and consent model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Provider verification.</w:t>
            </w:r>
          </w:p>
        </w:tc>
      </w:tr>
      <w:tr>
        <w:tc>
          <w:tcPr>
            <w:tcW w:type="dxa" w:w="2592"/>
          </w:tcPr>
          <w:p>
            <w:r>
              <w:t>Capabilities by session type</w:t>
            </w:r>
          </w:p>
        </w:tc>
        <w:tc>
          <w:tcPr>
            <w:tcW w:type="dxa" w:w="2592"/>
          </w:tcPr>
          <w:p>
            <w:r>
              <w:t>Exact capability matrix for BROADCAST / INTERACTIVE / ON_DEMAND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Provider verification.</w:t>
            </w:r>
          </w:p>
        </w:tc>
      </w:tr>
      <w:tr>
        <w:tc>
          <w:tcPr>
            <w:tcW w:type="dxa" w:w="2592"/>
          </w:tcPr>
          <w:p>
            <w:r>
              <w:t>Attendance numeric policy</w:t>
            </w:r>
          </w:p>
        </w:tc>
        <w:tc>
          <w:tcPr>
            <w:tcW w:type="dxa" w:w="2592"/>
          </w:tcPr>
          <w:p>
            <w:r>
              <w:t>Threshold/late/early/grace/override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Business Rule / Configuration.</w:t>
            </w:r>
          </w:p>
        </w:tc>
      </w:tr>
      <w:tr>
        <w:tc>
          <w:tcPr>
            <w:tcW w:type="dxa" w:w="2592"/>
          </w:tcPr>
          <w:p>
            <w:r>
              <w:t>Recording policy</w:t>
            </w:r>
          </w:p>
        </w:tc>
        <w:tc>
          <w:tcPr>
            <w:tcW w:type="dxa" w:w="2592"/>
          </w:tcPr>
          <w:p>
            <w:r>
              <w:t>Retention/privacy/transcript/replay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Media design.</w:t>
            </w:r>
          </w:p>
        </w:tc>
      </w:tr>
      <w:tr>
        <w:tc>
          <w:tcPr>
            <w:tcW w:type="dxa" w:w="2592"/>
          </w:tcPr>
          <w:p>
            <w:r>
              <w:t>Session↔Event</w:t>
            </w:r>
          </w:p>
        </w:tc>
        <w:tc>
          <w:tcPr>
            <w:tcW w:type="dxa" w:w="2592"/>
          </w:tcPr>
          <w:p>
            <w:r>
              <w:t>Calendar relationship cardinality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  <w:tc>
          <w:tcPr>
            <w:tcW w:type="dxa" w:w="2592"/>
          </w:tcPr>
          <w:p>
            <w:r>
              <w:t>Schema/API stage.</w:t>
            </w:r>
          </w:p>
        </w:tc>
      </w:tr>
      <w:tr>
        <w:tc>
          <w:tcPr>
            <w:tcW w:type="dxa" w:w="2592"/>
          </w:tcPr>
          <w:p>
            <w:r>
              <w:t>MADCR-049</w:t>
            </w:r>
          </w:p>
        </w:tc>
        <w:tc>
          <w:tcPr>
            <w:tcW w:type="dxa" w:w="2592"/>
          </w:tcPr>
          <w:p>
            <w:r>
              <w:t>Learning Activity evidence model</w:t>
            </w:r>
          </w:p>
        </w:tc>
        <w:tc>
          <w:tcPr>
            <w:tcW w:type="dxa" w:w="2592"/>
          </w:tcPr>
          <w:p>
            <w:r>
              <w:t>OPEN / RE-EVALUATION</w:t>
            </w:r>
          </w:p>
        </w:tc>
        <w:tc>
          <w:tcPr>
            <w:tcW w:type="dxa" w:w="2592"/>
          </w:tcPr>
          <w:p>
            <w:r>
              <w:t>Independent governance gate.</w:t>
            </w:r>
          </w:p>
        </w:tc>
      </w:tr>
    </w:tbl>
    <w:p>
      <w:pPr>
        <w:pStyle w:val="Heading1"/>
      </w:pPr>
      <w:r>
        <w:t>12. Decision Assessment</w:t>
      </w:r>
    </w:p>
    <w:p>
      <w:r>
        <w:t>No new user decision is required to continue. The adapter boundary and normalized contract can be approved at logical level without selecting a vendor or approving automatic failover. Current web evidence confirms that all five candidate providers expose meaningful capabilities, but with materially different execution/evidence models; this strengthens the need for the adapter boundary rather than weakening it.</w:t>
      </w:r>
    </w:p>
    <w:p>
      <w:pPr>
        <w:pStyle w:val="Heading1"/>
      </w:pPr>
      <w:r>
        <w:t>13. Next Step</w:t>
      </w:r>
    </w:p>
    <w:p>
      <w:r>
        <w:t>STEP 09 — API Impact Specification. The next step will map the logical contracts into provider-neutral API operation categories, inbound webhook/event endpoints, correlation/idempotency requirements, error semantics, authorization boundary and compatibility with existing M04/M05 endpoints. Vendor-specific payloads will remain adapter-internal.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