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09 — API Impact Specification</w:t>
      </w:r>
    </w:p>
    <w:p>
      <w:pPr>
        <w:jc w:val="center"/>
      </w:pPr>
      <w:r>
        <w:rPr>
          <w:i/>
        </w:rPr>
        <w:t>Version 1.0 | Semantic API contract impact | Final endpoint/payload implementation NOT AUTHORIZED</w:t>
      </w:r>
    </w:p>
    <w:p>
      <w:pPr>
        <w:pStyle w:val="Heading1"/>
      </w:pPr>
      <w:r>
        <w:t>1. Purpose &amp; Source Basis</w:t>
      </w:r>
    </w:p>
    <w:p>
      <w:r>
        <w:t>This step translates the approved AEP4 logical model and provider-neutral adapter contract into a semantic API impact specification. It follows the current project API conventions documented in the existing API baseline and the AEP3 API impact pattern: /api/v1, REST resource naming, JWT Bearer authentication, standard success/data/meta or success/error envelopes, pagination where applicable, server-side validation, and idempotency for duplicate-sensitive operations. fileciteturn11file2turn11file11</w:t>
      </w:r>
    </w:p>
    <w:p>
      <w:r>
        <w:t>The current baseline has course enrollment endpoints and event RSVP endpoints, but no dedicated provider-neutral Learning Session contract in the inspected M04/M05 API sections. Those existing endpoint meanings must remain unchanged. fileciteturn11file3</w:t>
      </w:r>
    </w:p>
    <w:p>
      <w:pPr>
        <w:pStyle w:val="Heading1"/>
      </w:pPr>
      <w:r>
        <w:t>2. Gate Result</w:t>
      </w:r>
    </w:p>
    <w:p>
      <w:r>
        <w:t>PASS — SEMANTIC API IMPACT DEFINED.</w:t>
      </w:r>
    </w:p>
    <w:p>
      <w:r>
        <w:t>The API surface can be specified without changing existing Course Enrollment/Event RSVP semantics and without locking vendor-specific provider payloads, final RBAC IDs, physical schema, or production webhook infrastructure.</w:t>
      </w:r>
    </w:p>
    <w:p>
      <w:pPr>
        <w:pStyle w:val="Heading1"/>
      </w:pPr>
      <w:r>
        <w:t>3. Target API Capability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Capability</w:t>
            </w:r>
          </w:p>
        </w:tc>
        <w:tc>
          <w:tcPr>
            <w:tcW w:type="dxa" w:w="2074"/>
          </w:tcPr>
          <w:p>
            <w:r>
              <w:t>Logical endpoint family</w:t>
            </w:r>
          </w:p>
        </w:tc>
        <w:tc>
          <w:tcPr>
            <w:tcW w:type="dxa" w:w="2074"/>
          </w:tcPr>
          <w:p>
            <w:r>
              <w:t>Purpose</w:t>
            </w:r>
          </w:p>
        </w:tc>
        <w:tc>
          <w:tcPr>
            <w:tcW w:type="dxa" w:w="2074"/>
          </w:tcPr>
          <w:p>
            <w:r>
              <w:t>Actor</w:t>
            </w:r>
          </w:p>
        </w:tc>
        <w:tc>
          <w:tcPr>
            <w:tcW w:type="dxa" w:w="2074"/>
          </w:tcPr>
          <w:p>
            <w:r>
              <w:t>Class</w:t>
            </w:r>
          </w:p>
        </w:tc>
      </w:tr>
      <w:tr>
        <w:tc>
          <w:tcPr>
            <w:tcW w:type="dxa" w:w="2074"/>
          </w:tcPr>
          <w:p>
            <w:r>
              <w:t>Learning Session Discovery</w:t>
            </w:r>
          </w:p>
        </w:tc>
        <w:tc>
          <w:tcPr>
            <w:tcW w:type="dxa" w:w="2074"/>
          </w:tcPr>
          <w:p>
            <w:r>
              <w:t>GET /learning-sessions</w:t>
            </w:r>
          </w:p>
        </w:tc>
        <w:tc>
          <w:tcPr>
            <w:tcW w:type="dxa" w:w="2074"/>
          </w:tcPr>
          <w:p>
            <w:r>
              <w:t>Read session catalog/detail subject to visibility/access scope.</w:t>
            </w:r>
          </w:p>
        </w:tc>
        <w:tc>
          <w:tcPr>
            <w:tcW w:type="dxa" w:w="2074"/>
          </w:tcPr>
          <w:p>
            <w:r>
              <w:t>Public/Authenticated depending session visibility.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Learning Session Management</w:t>
            </w:r>
          </w:p>
        </w:tc>
        <w:tc>
          <w:tcPr>
            <w:tcW w:type="dxa" w:w="2074"/>
          </w:tcPr>
          <w:p>
            <w:r>
              <w:t>POST /learning-sessions; PATCH /learning-sessions/{sessionId}</w:t>
            </w:r>
          </w:p>
        </w:tc>
        <w:tc>
          <w:tcPr>
            <w:tcW w:type="dxa" w:w="2074"/>
          </w:tcPr>
          <w:p>
            <w:r>
              <w:t>Create/update semantic session and lifecycle-controlled attributes.</w:t>
            </w:r>
          </w:p>
        </w:tc>
        <w:tc>
          <w:tcPr>
            <w:tcW w:type="dxa" w:w="2074"/>
          </w:tcPr>
          <w:p>
            <w:r>
              <w:t>Authorized Learning actor.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Session Lifecycle</w:t>
            </w:r>
          </w:p>
        </w:tc>
        <w:tc>
          <w:tcPr>
            <w:tcW w:type="dxa" w:w="2074"/>
          </w:tcPr>
          <w:p>
            <w:r>
              <w:t>POST /learning-sessions/{sessionId}/lifecycle-actions</w:t>
            </w:r>
          </w:p>
        </w:tc>
        <w:tc>
          <w:tcPr>
            <w:tcW w:type="dxa" w:w="2074"/>
          </w:tcPr>
          <w:p>
            <w:r>
              <w:t>Request governed lifecycle transition such as schedule/start/end/cancel/fail handling.</w:t>
            </w:r>
          </w:p>
        </w:tc>
        <w:tc>
          <w:tcPr>
            <w:tcW w:type="dxa" w:w="2074"/>
          </w:tcPr>
          <w:p>
            <w:r>
              <w:t>Authorized actor/system.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Session Enrollment</w:t>
            </w:r>
          </w:p>
        </w:tc>
        <w:tc>
          <w:tcPr>
            <w:tcW w:type="dxa" w:w="2074"/>
          </w:tcPr>
          <w:p>
            <w:r>
              <w:t>POST /learning-sessions/{sessionId}/enrollment</w:t>
            </w:r>
          </w:p>
        </w:tc>
        <w:tc>
          <w:tcPr>
            <w:tcW w:type="dxa" w:w="2074"/>
          </w:tcPr>
          <w:p>
            <w:r>
              <w:t>Create learner session enrollment; creates PENDING or activation path according to entitlement.</w:t>
            </w:r>
          </w:p>
        </w:tc>
        <w:tc>
          <w:tcPr>
            <w:tcW w:type="dxa" w:w="2074"/>
          </w:tcPr>
          <w:p>
            <w:r>
              <w:t>Agent/System.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My Session Enrollments</w:t>
            </w:r>
          </w:p>
        </w:tc>
        <w:tc>
          <w:tcPr>
            <w:tcW w:type="dxa" w:w="2074"/>
          </w:tcPr>
          <w:p>
            <w:r>
              <w:t>GET /agents/me/session-enrollments</w:t>
            </w:r>
          </w:p>
        </w:tc>
        <w:tc>
          <w:tcPr>
            <w:tcW w:type="dxa" w:w="2074"/>
          </w:tcPr>
          <w:p>
            <w:r>
              <w:t>Retrieve learner's session enrollments and lifecycle status.</w:t>
            </w:r>
          </w:p>
        </w:tc>
        <w:tc>
          <w:tcPr>
            <w:tcW w:type="dxa" w:w="2074"/>
          </w:tcPr>
          <w:p>
            <w:r>
              <w:t>Agent.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Session Access</w:t>
            </w:r>
          </w:p>
        </w:tc>
        <w:tc>
          <w:tcPr>
            <w:tcW w:type="dxa" w:w="2074"/>
          </w:tcPr>
          <w:p>
            <w:r>
              <w:t>GET /learning-sessions/{sessionId}/access</w:t>
            </w:r>
          </w:p>
        </w:tc>
        <w:tc>
          <w:tcPr>
            <w:tcW w:type="dxa" w:w="2074"/>
          </w:tcPr>
          <w:p>
            <w:r>
              <w:t>Resolve active session access/join context after authorization.</w:t>
            </w:r>
          </w:p>
        </w:tc>
        <w:tc>
          <w:tcPr>
            <w:tcW w:type="dxa" w:w="2074"/>
          </w:tcPr>
          <w:p>
            <w:r>
              <w:t>Authenticated enrolled learner.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Provider Binding</w:t>
            </w:r>
          </w:p>
        </w:tc>
        <w:tc>
          <w:tcPr>
            <w:tcW w:type="dxa" w:w="2074"/>
          </w:tcPr>
          <w:p>
            <w:r>
              <w:t>POST /learning-sessions/{sessionId}/provider-binding; PATCH /...</w:t>
            </w:r>
          </w:p>
        </w:tc>
        <w:tc>
          <w:tcPr>
            <w:tcW w:type="dxa" w:w="2074"/>
          </w:tcPr>
          <w:p>
            <w:r>
              <w:t>Create/change provider binding through controlled authority.</w:t>
            </w:r>
          </w:p>
        </w:tc>
        <w:tc>
          <w:tcPr>
            <w:tcW w:type="dxa" w:w="2074"/>
          </w:tcPr>
          <w:p>
            <w:r>
              <w:t>Authorized Learning/System actor.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Provider Capability</w:t>
            </w:r>
          </w:p>
        </w:tc>
        <w:tc>
          <w:tcPr>
            <w:tcW w:type="dxa" w:w="2074"/>
          </w:tcPr>
          <w:p>
            <w:r>
              <w:t>GET /provider-capabilities</w:t>
            </w:r>
          </w:p>
        </w:tc>
        <w:tc>
          <w:tcPr>
            <w:tcW w:type="dxa" w:w="2074"/>
          </w:tcPr>
          <w:p>
            <w:r>
              <w:t>Expose normalized capability profiles for provider selection/verification.</w:t>
            </w:r>
          </w:p>
        </w:tc>
        <w:tc>
          <w:tcPr>
            <w:tcW w:type="dxa" w:w="2074"/>
          </w:tcPr>
          <w:p>
            <w:r>
              <w:t>Authorized admin/system; read scope as needed.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Provider Webhook Ingestion</w:t>
            </w:r>
          </w:p>
        </w:tc>
        <w:tc>
          <w:tcPr>
            <w:tcW w:type="dxa" w:w="2074"/>
          </w:tcPr>
          <w:p>
            <w:r>
              <w:t>POST /integrations/providers/{provider}/events</w:t>
            </w:r>
          </w:p>
        </w:tc>
        <w:tc>
          <w:tcPr>
            <w:tcW w:type="dxa" w:w="2074"/>
          </w:tcPr>
          <w:p>
            <w:r>
              <w:t>Receive provider events; validate/normalize/idempotently process.</w:t>
            </w:r>
          </w:p>
        </w:tc>
        <w:tc>
          <w:tcPr>
            <w:tcW w:type="dxa" w:w="2074"/>
          </w:tcPr>
          <w:p>
            <w:r>
              <w:t>Provider integration only.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Participation Evidence</w:t>
            </w:r>
          </w:p>
        </w:tc>
        <w:tc>
          <w:tcPr>
            <w:tcW w:type="dxa" w:w="2074"/>
          </w:tcPr>
          <w:p>
            <w:r>
              <w:t>GET /learning-sessions/{sessionId}/evidence; internal ingestion path</w:t>
            </w:r>
          </w:p>
        </w:tc>
        <w:tc>
          <w:tcPr>
            <w:tcW w:type="dxa" w:w="2074"/>
          </w:tcPr>
          <w:p>
            <w:r>
              <w:t>Read governed evidence where authorized; inbound evidence remains adapter-owned.</w:t>
            </w:r>
          </w:p>
        </w:tc>
        <w:tc>
          <w:tcPr>
            <w:tcW w:type="dxa" w:w="2074"/>
          </w:tcPr>
          <w:p>
            <w:r>
              <w:t>System/authorized authority.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Attendance Outcome</w:t>
            </w:r>
          </w:p>
        </w:tc>
        <w:tc>
          <w:tcPr>
            <w:tcW w:type="dxa" w:w="2074"/>
          </w:tcPr>
          <w:p>
            <w:r>
              <w:t>GET /learning-sessions/{sessionId}/attendance; internal evaluation path</w:t>
            </w:r>
          </w:p>
        </w:tc>
        <w:tc>
          <w:tcPr>
            <w:tcW w:type="dxa" w:w="2074"/>
          </w:tcPr>
          <w:p>
            <w:r>
              <w:t>Expose evaluated attendance outcome; raw provider events are not the business state.</w:t>
            </w:r>
          </w:p>
        </w:tc>
        <w:tc>
          <w:tcPr>
            <w:tcW w:type="dxa" w:w="2074"/>
          </w:tcPr>
          <w:p>
            <w:r>
              <w:t>Authorized actor/system.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Completion Outcome</w:t>
            </w:r>
          </w:p>
        </w:tc>
        <w:tc>
          <w:tcPr>
            <w:tcW w:type="dxa" w:w="2074"/>
          </w:tcPr>
          <w:p>
            <w:r>
              <w:t>GET /learning-sessions/{sessionId}/completion; internal evaluation path</w:t>
            </w:r>
          </w:p>
        </w:tc>
        <w:tc>
          <w:tcPr>
            <w:tcW w:type="dxa" w:w="2074"/>
          </w:tcPr>
          <w:p>
            <w:r>
              <w:t>Expose governed completion outcome; provider cannot directly set completion.</w:t>
            </w:r>
          </w:p>
        </w:tc>
        <w:tc>
          <w:tcPr>
            <w:tcW w:type="dxa" w:w="2074"/>
          </w:tcPr>
          <w:p>
            <w:r>
              <w:t>Authorized actor/system.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Session Artifacts</w:t>
            </w:r>
          </w:p>
        </w:tc>
        <w:tc>
          <w:tcPr>
            <w:tcW w:type="dxa" w:w="2074"/>
          </w:tcPr>
          <w:p>
            <w:r>
              <w:t>GET /learning-sessions/{sessionId}/artifacts</w:t>
            </w:r>
          </w:p>
        </w:tc>
        <w:tc>
          <w:tcPr>
            <w:tcW w:type="dxa" w:w="2074"/>
          </w:tcPr>
          <w:p>
            <w:r>
              <w:t>List recording/artifact references where available.</w:t>
            </w:r>
          </w:p>
        </w:tc>
        <w:tc>
          <w:tcPr>
            <w:tcW w:type="dxa" w:w="2074"/>
          </w:tcPr>
          <w:p>
            <w:r>
              <w:t>Authorized learner/actor per visibility.</w:t>
            </w:r>
          </w:p>
        </w:tc>
        <w:tc>
          <w:tcPr>
            <w:tcW w:type="dxa" w:w="2074"/>
          </w:tcPr>
          <w:p>
            <w:r>
              <w:t>NEW</w:t>
            </w:r>
          </w:p>
        </w:tc>
      </w:tr>
      <w:tr>
        <w:tc>
          <w:tcPr>
            <w:tcW w:type="dxa" w:w="2074"/>
          </w:tcPr>
          <w:p>
            <w:r>
              <w:t>Calendar Integration</w:t>
            </w:r>
          </w:p>
        </w:tc>
        <w:tc>
          <w:tcPr>
            <w:tcW w:type="dxa" w:w="2074"/>
          </w:tcPr>
          <w:p>
            <w:r>
              <w:t>Existing /events endpoints remain; optional session reference</w:t>
            </w:r>
          </w:p>
        </w:tc>
        <w:tc>
          <w:tcPr>
            <w:tcW w:type="dxa" w:w="2074"/>
          </w:tcPr>
          <w:p>
            <w:r>
              <w:t>Surface Learning Session in Event Calendar without changing Event authority.</w:t>
            </w:r>
          </w:p>
        </w:tc>
        <w:tc>
          <w:tcPr>
            <w:tcW w:type="dxa" w:w="2074"/>
          </w:tcPr>
          <w:p>
            <w:r>
              <w:t>Existing roles + integration.</w:t>
            </w:r>
          </w:p>
        </w:tc>
        <w:tc>
          <w:tcPr>
            <w:tcW w:type="dxa" w:w="2074"/>
          </w:tcPr>
          <w:p>
            <w:r>
              <w:t>EVOLVE</w:t>
            </w:r>
          </w:p>
        </w:tc>
      </w:tr>
    </w:tbl>
    <w:p>
      <w:pPr>
        <w:pStyle w:val="Heading1"/>
      </w:pPr>
      <w:r>
        <w:t>4. Existing API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Existing endpoint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Compatibility rule</w:t>
            </w:r>
          </w:p>
        </w:tc>
      </w:tr>
      <w:tr>
        <w:tc>
          <w:tcPr>
            <w:tcW w:type="dxa" w:w="3456"/>
          </w:tcPr>
          <w:p>
            <w:r>
              <w:t>POST /courses/{id}/enroll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Course Enrollment remains M04 Course Enrollment; do not redirect semantics to Session Enrollment.</w:t>
            </w:r>
          </w:p>
        </w:tc>
      </w:tr>
      <w:tr>
        <w:tc>
          <w:tcPr>
            <w:tcW w:type="dxa" w:w="3456"/>
          </w:tcPr>
          <w:p>
            <w:r>
              <w:t>GET /agents/me/enrollments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Returns existing Course Enrollment; new session-enrollment resource is separate.</w:t>
            </w:r>
          </w:p>
        </w:tc>
      </w:tr>
      <w:tr>
        <w:tc>
          <w:tcPr>
            <w:tcW w:type="dxa" w:w="3456"/>
          </w:tcPr>
          <w:p>
            <w:r>
              <w:t>POST /events/{id}/rsvp</w:t>
            </w:r>
          </w:p>
        </w:tc>
        <w:tc>
          <w:tcPr>
            <w:tcW w:type="dxa" w:w="3456"/>
          </w:tcPr>
          <w:p>
            <w:r>
              <w:t>KEEP</w:t>
            </w:r>
          </w:p>
        </w:tc>
        <w:tc>
          <w:tcPr>
            <w:tcW w:type="dxa" w:w="3456"/>
          </w:tcPr>
          <w:p>
            <w:r>
              <w:t>Event RSVP remains M05 EventRegistration; not Session Enrollment.</w:t>
            </w:r>
          </w:p>
        </w:tc>
      </w:tr>
      <w:tr>
        <w:tc>
          <w:tcPr>
            <w:tcW w:type="dxa" w:w="3456"/>
          </w:tcPr>
          <w:p>
            <w:r>
              <w:t>GET /events</w:t>
            </w:r>
          </w:p>
        </w:tc>
        <w:tc>
          <w:tcPr>
            <w:tcW w:type="dxa" w:w="3456"/>
          </w:tcPr>
          <w:p>
            <w:r>
              <w:t>KEEP / EVOLVE</w:t>
            </w:r>
          </w:p>
        </w:tc>
        <w:tc>
          <w:tcPr>
            <w:tcW w:type="dxa" w:w="3456"/>
          </w:tcPr>
          <w:p>
            <w:r>
              <w:t>May expose/link Learning Session representation where appropriate; exact Session↔Event cardinality remains open.</w:t>
            </w:r>
          </w:p>
        </w:tc>
      </w:tr>
    </w:tbl>
    <w:p>
      <w:pPr>
        <w:pStyle w:val="Heading1"/>
      </w:pPr>
      <w:r>
        <w:t>5. API Conventions Carried Forward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Convention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  <w:tc>
          <w:tcPr>
            <w:tcW w:type="dxa" w:w="3456"/>
          </w:tcPr>
          <w:p>
            <w:r>
              <w:t>Source / impact</w:t>
            </w:r>
          </w:p>
        </w:tc>
      </w:tr>
      <w:tr>
        <w:tc>
          <w:tcPr>
            <w:tcW w:type="dxa" w:w="3456"/>
          </w:tcPr>
          <w:p>
            <w:r>
              <w:t>Standard base</w:t>
            </w:r>
          </w:p>
        </w:tc>
        <w:tc>
          <w:tcPr>
            <w:tcW w:type="dxa" w:w="3456"/>
          </w:tcPr>
          <w:p>
            <w:r>
              <w:t>/api/v1</w:t>
            </w:r>
          </w:p>
        </w:tc>
        <w:tc>
          <w:tcPr>
            <w:tcW w:type="dxa" w:w="3456"/>
          </w:tcPr>
          <w:p>
            <w:r>
              <w:t>Carry forward current API versioning.</w:t>
            </w:r>
          </w:p>
        </w:tc>
      </w:tr>
      <w:tr>
        <w:tc>
          <w:tcPr>
            <w:tcW w:type="dxa" w:w="3456"/>
          </w:tcPr>
          <w:p>
            <w:r>
              <w:t>Resource naming</w:t>
            </w:r>
          </w:p>
        </w:tc>
        <w:tc>
          <w:tcPr>
            <w:tcW w:type="dxa" w:w="3456"/>
          </w:tcPr>
          <w:p>
            <w:r>
              <w:t>plural + kebab-case</w:t>
            </w:r>
          </w:p>
        </w:tc>
        <w:tc>
          <w:tcPr>
            <w:tcW w:type="dxa" w:w="3456"/>
          </w:tcPr>
          <w:p>
            <w:r>
              <w:t>Carry forward current API convention.</w:t>
            </w:r>
          </w:p>
        </w:tc>
      </w:tr>
      <w:tr>
        <w:tc>
          <w:tcPr>
            <w:tcW w:type="dxa" w:w="3456"/>
          </w:tcPr>
          <w:p>
            <w:r>
              <w:t>Authentication</w:t>
            </w:r>
          </w:p>
        </w:tc>
        <w:tc>
          <w:tcPr>
            <w:tcW w:type="dxa" w:w="3456"/>
          </w:tcPr>
          <w:p>
            <w:r>
              <w:t>JWT Bearer</w:t>
            </w:r>
          </w:p>
        </w:tc>
        <w:tc>
          <w:tcPr>
            <w:tcW w:type="dxa" w:w="3456"/>
          </w:tcPr>
          <w:p>
            <w:r>
              <w:t>Private operations require authenticated identity.</w:t>
            </w:r>
          </w:p>
        </w:tc>
      </w:tr>
      <w:tr>
        <w:tc>
          <w:tcPr>
            <w:tcW w:type="dxa" w:w="3456"/>
          </w:tcPr>
          <w:p>
            <w:r>
              <w:t>Response envelope</w:t>
            </w:r>
          </w:p>
        </w:tc>
        <w:tc>
          <w:tcPr>
            <w:tcW w:type="dxa" w:w="3456"/>
          </w:tcPr>
          <w:p>
            <w:r>
              <w:t>success/data/meta or success/error</w:t>
            </w:r>
          </w:p>
        </w:tc>
        <w:tc>
          <w:tcPr>
            <w:tcW w:type="dxa" w:w="3456"/>
          </w:tcPr>
          <w:p>
            <w:r>
              <w:t>Carry forward current baseline convention.</w:t>
            </w:r>
          </w:p>
        </w:tc>
      </w:tr>
      <w:tr>
        <w:tc>
          <w:tcPr>
            <w:tcW w:type="dxa" w:w="3456"/>
          </w:tcPr>
          <w:p>
            <w:r>
              <w:t>Errors</w:t>
            </w:r>
          </w:p>
        </w:tc>
        <w:tc>
          <w:tcPr>
            <w:tcW w:type="dxa" w:w="3456"/>
          </w:tcPr>
          <w:p>
            <w:r>
              <w:t>SCREAMING_SNAKE_CASE + HTTP status</w:t>
            </w:r>
          </w:p>
        </w:tc>
        <w:tc>
          <w:tcPr>
            <w:tcW w:type="dxa" w:w="3456"/>
          </w:tcPr>
          <w:p>
            <w:r>
              <w:t>Use business conflict/validation semantics; exact error catalog downstream.</w:t>
            </w:r>
          </w:p>
        </w:tc>
      </w:tr>
      <w:tr>
        <w:tc>
          <w:tcPr>
            <w:tcW w:type="dxa" w:w="3456"/>
          </w:tcPr>
          <w:p>
            <w:r>
              <w:t>Pagination</w:t>
            </w:r>
          </w:p>
        </w:tc>
        <w:tc>
          <w:tcPr>
            <w:tcW w:type="dxa" w:w="3456"/>
          </w:tcPr>
          <w:p>
            <w:r>
              <w:t>page/per_page/sort/order where applicable</w:t>
            </w:r>
          </w:p>
        </w:tc>
        <w:tc>
          <w:tcPr>
            <w:tcW w:type="dxa" w:w="3456"/>
          </w:tcPr>
          <w:p>
            <w:r>
              <w:t>Required for potentially unbounded lists.</w:t>
            </w:r>
          </w:p>
        </w:tc>
      </w:tr>
      <w:tr>
        <w:tc>
          <w:tcPr>
            <w:tcW w:type="dxa" w:w="3456"/>
          </w:tcPr>
          <w:p>
            <w:r>
              <w:t>Validation</w:t>
            </w:r>
          </w:p>
        </w:tc>
        <w:tc>
          <w:tcPr>
            <w:tcW w:type="dxa" w:w="3456"/>
          </w:tcPr>
          <w:p>
            <w:r>
              <w:t>server-side validation</w:t>
            </w:r>
          </w:p>
        </w:tc>
        <w:tc>
          <w:tcPr>
            <w:tcW w:type="dxa" w:w="3456"/>
          </w:tcPr>
          <w:p>
            <w:r>
              <w:t>Mutation requests validated server-side.</w:t>
            </w:r>
          </w:p>
        </w:tc>
      </w:tr>
      <w:tr>
        <w:tc>
          <w:tcPr>
            <w:tcW w:type="dxa" w:w="3456"/>
          </w:tcPr>
          <w:p>
            <w:r>
              <w:t>Idempotency</w:t>
            </w:r>
          </w:p>
        </w:tc>
        <w:tc>
          <w:tcPr>
            <w:tcW w:type="dxa" w:w="3456"/>
          </w:tcPr>
          <w:p>
            <w:r>
              <w:t>required for duplicate-sensitive mutations/events</w:t>
            </w:r>
          </w:p>
        </w:tc>
        <w:tc>
          <w:tcPr>
            <w:tcW w:type="dxa" w:w="3456"/>
          </w:tcPr>
          <w:p>
            <w:r>
              <w:t>Especially enrollment creation, provider binding mutations, webhook/event ingestion.</w:t>
            </w:r>
          </w:p>
        </w:tc>
      </w:tr>
      <w:tr>
        <w:tc>
          <w:tcPr>
            <w:tcW w:type="dxa" w:w="3456"/>
          </w:tcPr>
          <w:p>
            <w:r>
              <w:t>Authorization</w:t>
            </w:r>
          </w:p>
        </w:tc>
        <w:tc>
          <w:tcPr>
            <w:tcW w:type="dxa" w:w="3456"/>
          </w:tcPr>
          <w:p>
            <w:r>
              <w:t>RBAC/authority boundary</w:t>
            </w:r>
          </w:p>
        </w:tc>
        <w:tc>
          <w:tcPr>
            <w:tcW w:type="dxa" w:w="3456"/>
          </w:tcPr>
          <w:p>
            <w:r>
              <w:t>Exact permission IDs remain Step 10.</w:t>
            </w:r>
          </w:p>
        </w:tc>
      </w:tr>
    </w:tbl>
    <w:p>
      <w:pPr>
        <w:pStyle w:val="Heading1"/>
      </w:pPr>
      <w:r>
        <w:t>6. Provider Webhook / Event API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Contract</w:t>
            </w:r>
          </w:p>
        </w:tc>
        <w:tc>
          <w:tcPr>
            <w:tcW w:type="dxa" w:w="3456"/>
          </w:tcPr>
          <w:p>
            <w:r>
              <w:t>API boundary</w:t>
            </w:r>
          </w:p>
        </w:tc>
        <w:tc>
          <w:tcPr>
            <w:tcW w:type="dxa" w:w="3456"/>
          </w:tcPr>
          <w:p>
            <w:r>
              <w:t>Processing rule</w:t>
            </w:r>
          </w:p>
        </w:tc>
      </w:tr>
      <w:tr>
        <w:tc>
          <w:tcPr>
            <w:tcW w:type="dxa" w:w="3456"/>
          </w:tcPr>
          <w:p>
            <w:r>
              <w:t>Provider event intake</w:t>
            </w:r>
          </w:p>
        </w:tc>
        <w:tc>
          <w:tcPr>
            <w:tcW w:type="dxa" w:w="3456"/>
          </w:tcPr>
          <w:p>
            <w:r>
              <w:t>Provider → POST /integrations/providers/{provider}/events</w:t>
            </w:r>
          </w:p>
        </w:tc>
        <w:tc>
          <w:tcPr>
            <w:tcW w:type="dxa" w:w="3456"/>
          </w:tcPr>
          <w:p>
            <w:r>
              <w:t>Adapter verifies authenticity/integrity, derives correlation, checks idempotency, normalizes.</w:t>
            </w:r>
          </w:p>
        </w:tc>
      </w:tr>
      <w:tr>
        <w:tc>
          <w:tcPr>
            <w:tcW w:type="dxa" w:w="3456"/>
          </w:tcPr>
          <w:p>
            <w:r>
              <w:t>SESSION_STARTED</w:t>
            </w:r>
          </w:p>
        </w:tc>
        <w:tc>
          <w:tcPr>
            <w:tcW w:type="dxa" w:w="3456"/>
          </w:tcPr>
          <w:p>
            <w:r>
              <w:t>→ Session state evidence</w:t>
            </w:r>
          </w:p>
        </w:tc>
        <w:tc>
          <w:tcPr>
            <w:tcW w:type="dxa" w:w="3456"/>
          </w:tcPr>
          <w:p>
            <w:r>
              <w:t>May contribute to LIVE state; not completion.</w:t>
            </w:r>
          </w:p>
        </w:tc>
      </w:tr>
      <w:tr>
        <w:tc>
          <w:tcPr>
            <w:tcW w:type="dxa" w:w="3456"/>
          </w:tcPr>
          <w:p>
            <w:r>
              <w:t>SESSION_ENDED</w:t>
            </w:r>
          </w:p>
        </w:tc>
        <w:tc>
          <w:tcPr>
            <w:tcW w:type="dxa" w:w="3456"/>
          </w:tcPr>
          <w:p>
            <w:r>
              <w:t>→ Session state evidence</w:t>
            </w:r>
          </w:p>
        </w:tc>
        <w:tc>
          <w:tcPr>
            <w:tcW w:type="dxa" w:w="3456"/>
          </w:tcPr>
          <w:p>
            <w:r>
              <w:t>May contribute to ENDED state; not completion.</w:t>
            </w:r>
          </w:p>
        </w:tc>
      </w:tr>
      <w:tr>
        <w:tc>
          <w:tcPr>
            <w:tcW w:type="dxa" w:w="3456"/>
          </w:tcPr>
          <w:p>
            <w:r>
              <w:t>PARTICIPANT_JOINED/LEFT</w:t>
            </w:r>
          </w:p>
        </w:tc>
        <w:tc>
          <w:tcPr>
            <w:tcW w:type="dxa" w:w="3456"/>
          </w:tcPr>
          <w:p>
            <w:r>
              <w:t>→ Participation Evidence</w:t>
            </w:r>
          </w:p>
        </w:tc>
        <w:tc>
          <w:tcPr>
            <w:tcW w:type="dxa" w:w="3456"/>
          </w:tcPr>
          <w:p>
            <w:r>
              <w:t>Never directly sets attendance/completion.</w:t>
            </w:r>
          </w:p>
        </w:tc>
      </w:tr>
      <w:tr>
        <w:tc>
          <w:tcPr>
            <w:tcW w:type="dxa" w:w="3456"/>
          </w:tcPr>
          <w:p>
            <w:r>
              <w:t>RECORDING_AVAILABLE</w:t>
            </w:r>
          </w:p>
        </w:tc>
        <w:tc>
          <w:tcPr>
            <w:tcW w:type="dxa" w:w="3456"/>
          </w:tcPr>
          <w:p>
            <w:r>
              <w:t>→ Artifact Reference</w:t>
            </w:r>
          </w:p>
        </w:tc>
        <w:tc>
          <w:tcPr>
            <w:tcW w:type="dxa" w:w="3456"/>
          </w:tcPr>
          <w:p>
            <w:r>
              <w:t>Optional artifact only.</w:t>
            </w:r>
          </w:p>
        </w:tc>
      </w:tr>
      <w:tr>
        <w:tc>
          <w:tcPr>
            <w:tcW w:type="dxa" w:w="3456"/>
          </w:tcPr>
          <w:p>
            <w:r>
              <w:t>Provider failure/error</w:t>
            </w:r>
          </w:p>
        </w:tc>
        <w:tc>
          <w:tcPr>
            <w:tcW w:type="dxa" w:w="3456"/>
          </w:tcPr>
          <w:p>
            <w:r>
              <w:t>→ provider/session failure evidence</w:t>
            </w:r>
          </w:p>
        </w:tc>
        <w:tc>
          <w:tcPr>
            <w:tcW w:type="dxa" w:w="3456"/>
          </w:tcPr>
          <w:p>
            <w:r>
              <w:t>May support FAILED handling; must preserve history.</w:t>
            </w:r>
          </w:p>
        </w:tc>
      </w:tr>
      <w:tr>
        <w:tc>
          <w:tcPr>
            <w:tcW w:type="dxa" w:w="3456"/>
          </w:tcPr>
          <w:p>
            <w:r>
              <w:t>Unknown event</w:t>
            </w:r>
          </w:p>
        </w:tc>
        <w:tc>
          <w:tcPr>
            <w:tcW w:type="dxa" w:w="3456"/>
          </w:tcPr>
          <w:p>
            <w:r>
              <w:t>→ quarantine/audit path</w:t>
            </w:r>
          </w:p>
        </w:tc>
        <w:tc>
          <w:tcPr>
            <w:tcW w:type="dxa" w:w="3456"/>
          </w:tcPr>
          <w:p>
            <w:r>
              <w:t>Must not mutate authoritative Learning state by default.</w:t>
            </w:r>
          </w:p>
        </w:tc>
      </w:tr>
    </w:tbl>
    <w:p>
      <w:pPr>
        <w:pStyle w:val="Heading1"/>
      </w:pPr>
      <w:r>
        <w:t>7. Critical API Invariants</w:t>
      </w:r>
    </w:p>
    <w:p>
      <w:pPr>
        <w:pStyle w:val="ListBullet"/>
      </w:pPr>
      <w:r>
        <w:t>Session Enrollment API is separate from Course Enrollment and Event RSVP.</w:t>
      </w:r>
    </w:p>
    <w:p>
      <w:pPr>
        <w:pStyle w:val="ListBullet"/>
      </w:pPr>
      <w:r>
        <w:t>Enrollment activation must consume applicable entitlement/authorization outcome; the Learning Session API does not implement payment logic.</w:t>
      </w:r>
    </w:p>
    <w:p>
      <w:pPr>
        <w:pStyle w:val="ListBullet"/>
      </w:pPr>
      <w:r>
        <w:t>Provider webhook endpoints are integration boundaries, not public Learning state mutation endpoints.</w:t>
      </w:r>
    </w:p>
    <w:p>
      <w:pPr>
        <w:pStyle w:val="ListBullet"/>
      </w:pPr>
      <w:r>
        <w:t>Provider event ingestion must validate authenticity/integrity, correlate, normalize and process idempotently before producing Participation Evidence.</w:t>
      </w:r>
    </w:p>
    <w:p>
      <w:pPr>
        <w:pStyle w:val="ListBullet"/>
      </w:pPr>
      <w:r>
        <w:t>Attendance API exposes RUMAHAGEN's evaluated business outcome, not raw provider truth.</w:t>
      </w:r>
    </w:p>
    <w:p>
      <w:pPr>
        <w:pStyle w:val="ListBullet"/>
      </w:pPr>
      <w:r>
        <w:t>Completion API exposes governed completion outcome; no provider webhook may directly set completion.</w:t>
      </w:r>
    </w:p>
    <w:p>
      <w:pPr>
        <w:pStyle w:val="ListBullet"/>
      </w:pPr>
      <w:r>
        <w:t>Completion handoff to Learning Activity remains subject to the MADCR-049 evidence boundary.</w:t>
      </w:r>
    </w:p>
    <w:p>
      <w:pPr>
        <w:pStyle w:val="ListBullet"/>
      </w:pPr>
      <w:r>
        <w:t>Provider Binding API must preserve semantic Learning Session identity/history when provider changes.</w:t>
      </w:r>
    </w:p>
    <w:p>
      <w:pPr>
        <w:pStyle w:val="ListBullet"/>
      </w:pPr>
      <w:r>
        <w:t>Recording/artifact API exposes references; it does not define attendance or completion.</w:t>
      </w:r>
    </w:p>
    <w:p>
      <w:pPr>
        <w:pStyle w:val="ListBullet"/>
      </w:pPr>
      <w:r>
        <w:t>Existing M04/M05 endpoints retain their current semantic meanings.</w:t>
      </w:r>
    </w:p>
    <w:p>
      <w:pPr>
        <w:pStyle w:val="Heading1"/>
      </w:pPr>
      <w:r>
        <w:t>8. Authorization Boundary — Semantic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Actor</w:t>
            </w:r>
          </w:p>
        </w:tc>
        <w:tc>
          <w:tcPr>
            <w:tcW w:type="dxa" w:w="3456"/>
          </w:tcPr>
          <w:p>
            <w:r>
              <w:t>Allowed capability direction</w:t>
            </w:r>
          </w:p>
        </w:tc>
        <w:tc>
          <w:tcPr>
            <w:tcW w:type="dxa" w:w="3456"/>
          </w:tcPr>
          <w:p>
            <w:r>
              <w:t>Explicit prohibition</w:t>
            </w:r>
          </w:p>
        </w:tc>
      </w:tr>
      <w:tr>
        <w:tc>
          <w:tcPr>
            <w:tcW w:type="dxa" w:w="3456"/>
          </w:tcPr>
          <w:p>
            <w:r>
              <w:t>Learner / Agent</w:t>
            </w:r>
          </w:p>
        </w:tc>
        <w:tc>
          <w:tcPr>
            <w:tcW w:type="dxa" w:w="3456"/>
          </w:tcPr>
          <w:p>
            <w:r>
              <w:t>Read visible sessions; enroll; read own session enrollment/access; access artifacts allowed by scope.</w:t>
            </w:r>
          </w:p>
        </w:tc>
        <w:tc>
          <w:tcPr>
            <w:tcW w:type="dxa" w:w="3456"/>
          </w:tcPr>
          <w:p>
            <w:r>
              <w:t>No provider binding, attendance override, completion override.</w:t>
            </w:r>
          </w:p>
        </w:tc>
      </w:tr>
      <w:tr>
        <w:tc>
          <w:tcPr>
            <w:tcW w:type="dxa" w:w="3456"/>
          </w:tcPr>
          <w:p>
            <w:r>
              <w:t>Learning Admin/Manager/authorized role</w:t>
            </w:r>
          </w:p>
        </w:tc>
        <w:tc>
          <w:tcPr>
            <w:tcW w:type="dxa" w:w="3456"/>
          </w:tcPr>
          <w:p>
            <w:r>
              <w:t>Manage sessions, lifecycle actions, configuration according to RBAC.</w:t>
            </w:r>
          </w:p>
        </w:tc>
        <w:tc>
          <w:tcPr>
            <w:tcW w:type="dxa" w:w="3456"/>
          </w:tcPr>
          <w:p>
            <w:r>
              <w:t>Exact role-permission mapping downstream.</w:t>
            </w:r>
          </w:p>
        </w:tc>
      </w:tr>
      <w:tr>
        <w:tc>
          <w:tcPr>
            <w:tcW w:type="dxa" w:w="3456"/>
          </w:tcPr>
          <w:p>
            <w:r>
              <w:t>System / Orchestrator</w:t>
            </w:r>
          </w:p>
        </w:tc>
        <w:tc>
          <w:tcPr>
            <w:tcW w:type="dxa" w:w="3456"/>
          </w:tcPr>
          <w:p>
            <w:r>
              <w:t>Execute lifecycle/evidence synchronization and governed transitions.</w:t>
            </w:r>
          </w:p>
        </w:tc>
        <w:tc>
          <w:tcPr>
            <w:tcW w:type="dxa" w:w="3456"/>
          </w:tcPr>
          <w:p>
            <w:r>
              <w:t>Must not bypass authority boundaries.</w:t>
            </w:r>
          </w:p>
        </w:tc>
      </w:tr>
      <w:tr>
        <w:tc>
          <w:tcPr>
            <w:tcW w:type="dxa" w:w="3456"/>
          </w:tcPr>
          <w:p>
            <w:r>
              <w:t>Provider Adapter</w:t>
            </w:r>
          </w:p>
        </w:tc>
        <w:tc>
          <w:tcPr>
            <w:tcW w:type="dxa" w:w="3456"/>
          </w:tcPr>
          <w:p>
            <w:r>
              <w:t>Receive provider events, create normalized evidence/binding state within adapter boundary.</w:t>
            </w:r>
          </w:p>
        </w:tc>
        <w:tc>
          <w:tcPr>
            <w:tcW w:type="dxa" w:w="3456"/>
          </w:tcPr>
          <w:p>
            <w:r>
              <w:t>Cannot directly create completion/LP/credential/award outcomes.</w:t>
            </w:r>
          </w:p>
        </w:tc>
      </w:tr>
      <w:tr>
        <w:tc>
          <w:tcPr>
            <w:tcW w:type="dxa" w:w="3456"/>
          </w:tcPr>
          <w:p>
            <w:r>
              <w:t>Commercial/Payment</w:t>
            </w:r>
          </w:p>
        </w:tc>
        <w:tc>
          <w:tcPr>
            <w:tcW w:type="dxa" w:w="3456"/>
          </w:tcPr>
          <w:p>
            <w:r>
              <w:t>Provide trusted entitlement/payment outcome.</w:t>
            </w:r>
          </w:p>
        </w:tc>
        <w:tc>
          <w:tcPr>
            <w:tcW w:type="dxa" w:w="3456"/>
          </w:tcPr>
          <w:p>
            <w:r>
              <w:t>Does not own Learning Session state.</w:t>
            </w:r>
          </w:p>
        </w:tc>
      </w:tr>
    </w:tbl>
    <w:p>
      <w:pPr>
        <w:pStyle w:val="Heading1"/>
      </w:pPr>
      <w:r>
        <w:t>9. API Error / Idempotency Principles</w:t>
      </w:r>
    </w:p>
    <w:p>
      <w:pPr>
        <w:pStyle w:val="ListBullet"/>
      </w:pPr>
      <w:r>
        <w:t>Duplicate enrollment request must not create duplicate active enrollment.</w:t>
      </w:r>
    </w:p>
    <w:p>
      <w:pPr>
        <w:pStyle w:val="ListBullet"/>
      </w:pPr>
      <w:r>
        <w:t>Duplicate provider webhook/event delivery must not create duplicate evidence or duplicate downstream outcomes.</w:t>
      </w:r>
    </w:p>
    <w:p>
      <w:pPr>
        <w:pStyle w:val="ListBullet"/>
      </w:pPr>
      <w:r>
        <w:t>Invalid state transition should return a business conflict rather than silently mutate state.</w:t>
      </w:r>
    </w:p>
    <w:p>
      <w:pPr>
        <w:pStyle w:val="ListBullet"/>
      </w:pPr>
      <w:r>
        <w:t>Unauthorized access to a private session should not disclose protected resource details.</w:t>
      </w:r>
    </w:p>
    <w:p>
      <w:pPr>
        <w:pStyle w:val="ListBullet"/>
      </w:pPr>
      <w:r>
        <w:t>Provider events that cannot be authenticated/validated must not mutate authoritative Learning state.</w:t>
      </w:r>
    </w:p>
    <w:p>
      <w:pPr>
        <w:pStyle w:val="ListBullet"/>
      </w:pPr>
      <w:r>
        <w:t>Provider event ordering must not create an impossible Learning Session lifecycle.</w:t>
      </w:r>
    </w:p>
    <w:p>
      <w:pPr>
        <w:pStyle w:val="ListBullet"/>
      </w:pPr>
      <w:r>
        <w:t>Retry of a provider-binding mutation must not create multiple active bindings unintentionally.</w:t>
      </w:r>
    </w:p>
    <w:p>
      <w:pPr>
        <w:pStyle w:val="ListBullet"/>
      </w:pPr>
      <w:r>
        <w:t>API response contracts must not expose provider secrets/tokens.</w:t>
      </w:r>
    </w:p>
    <w:p>
      <w:pPr>
        <w:pStyle w:val="Heading1"/>
      </w:pPr>
      <w:r>
        <w:t>10. Open / Deferred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Handling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cross-provider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No API contract assumes automatic failover.</w:t>
            </w:r>
          </w:p>
        </w:tc>
      </w:tr>
      <w:tr>
        <w:tc>
          <w:tcPr>
            <w:tcW w:type="dxa" w:w="2592"/>
          </w:tcPr>
          <w:p>
            <w:r>
              <w:t>Session↔Event</w:t>
            </w:r>
          </w:p>
        </w:tc>
        <w:tc>
          <w:tcPr>
            <w:tcW w:type="dxa" w:w="2592"/>
          </w:tcPr>
          <w:p>
            <w:r>
              <w:t>Exact cardinality/ownership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API permits optional integration reference; final relationship deferred.</w:t>
            </w:r>
          </w:p>
        </w:tc>
      </w:tr>
      <w:tr>
        <w:tc>
          <w:tcPr>
            <w:tcW w:type="dxa" w:w="2592"/>
          </w:tcPr>
          <w:p>
            <w:r>
              <w:t>Attendance policy</w:t>
            </w:r>
          </w:p>
        </w:tc>
        <w:tc>
          <w:tcPr>
            <w:tcW w:type="dxa" w:w="2592"/>
          </w:tcPr>
          <w:p>
            <w:r>
              <w:t>Threshold/formula/exceptions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API exposes outcome, not hardcoded policy.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Canonical capacity model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 not promote M05 event quota yet.</w:t>
            </w:r>
          </w:p>
        </w:tc>
      </w:tr>
      <w:tr>
        <w:tc>
          <w:tcPr>
            <w:tcW w:type="dxa" w:w="2592"/>
          </w:tcPr>
          <w:p>
            <w:r>
              <w:t>Visibility/RBAC</w:t>
            </w:r>
          </w:p>
        </w:tc>
        <w:tc>
          <w:tcPr>
            <w:tcW w:type="dxa" w:w="2592"/>
          </w:tcPr>
          <w:p>
            <w:r>
              <w:t>Exact scope + permission IDs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Step 10.</w:t>
            </w:r>
          </w:p>
        </w:tc>
      </w:tr>
      <w:tr>
        <w:tc>
          <w:tcPr>
            <w:tcW w:type="dxa" w:w="2592"/>
          </w:tcPr>
          <w:p>
            <w:r>
              <w:t>Provider contracts</w:t>
            </w:r>
          </w:p>
        </w:tc>
        <w:tc>
          <w:tcPr>
            <w:tcW w:type="dxa" w:w="2592"/>
          </w:tcPr>
          <w:p>
            <w:r>
              <w:t>Vendor-specific auth/payload/event schemas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Adapter-internal implementation.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Retention/privacy/replay/transcript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Artifact API remains reference-level.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No completion API closes this gate.</w:t>
            </w:r>
          </w:p>
        </w:tc>
      </w:tr>
    </w:tbl>
    <w:p>
      <w:pPr>
        <w:pStyle w:val="Heading1"/>
      </w:pPr>
      <w:r>
        <w:t>11. Decision Assessment</w:t>
      </w:r>
    </w:p>
    <w:p>
      <w:r>
        <w:t>No new user Open Decision is required. The semantic API surface is sufficiently constrained to proceed to RBAC/Permission Impact. The Session↔Event relationship remains intentionally optional at this stage so the API contract does not prematurely lock cardinality. Existing endpoints remain backward-compatible by semantic meaning.</w:t>
      </w:r>
    </w:p>
    <w:p>
      <w:pPr>
        <w:pStyle w:val="Heading1"/>
      </w:pPr>
      <w:r>
        <w:t>12. Next Step</w:t>
      </w:r>
    </w:p>
    <w:p>
      <w:r>
        <w:t>STEP 10 — RBAC / Permission Impact. Map the semantic API capabilities to actor/authority boundaries and existing RBAC conventions, while explicitly preventing learners from controlling provider bindings, attendance overrides, completion overrides, LP issuance, credential issuance or Awarding outcomes.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