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RUMAHAGEN — AEP #4 Learning Session</w:t>
        <w:br/>
        <w:t>STEP 11 — User Flow Impact Specification</w:t>
      </w:r>
    </w:p>
    <w:p>
      <w:pPr>
        <w:jc w:val="center"/>
      </w:pPr>
      <w:r>
        <w:rPr>
          <w:i/>
        </w:rPr>
        <w:t>Version 1.0 | Semantic flow specification | Final UI/screens/copy NOT AUTHORIZED</w:t>
      </w:r>
    </w:p>
    <w:p>
      <w:pPr>
        <w:pStyle w:val="Heading1"/>
      </w:pPr>
      <w:r>
        <w:t>1. Source &amp; Continuity Basis</w:t>
      </w:r>
    </w:p>
    <w:p>
      <w:r>
        <w:t>This step uses the re-reviewed project corpus and the current AEP4 Steps 01–10. The current Learning Center user flow is course → lesson/assessment → completion/certificate, with live/webinar sessions surfaced through the Event Calendar. The AEP4 ERD reconciliation explicitly preserves M04 Course Enrollment, M04 Assessment/Certificate, M05 Event/EventRegistration, while adding separate Learning Session and Session Enrollment concepts. fileciteturn14file5turn14file13</w:t>
      </w:r>
    </w:p>
    <w:p>
      <w:r>
        <w:t>The AEP4 source architecture establishes Learning → Learning Session → Session Orchestrator → Provider Adapter → provider infrastructure; provider participation becomes evidence, attendance and completion remain RUMAHAGEN-governed, and Learning Economy remains the LP authority. fileciteturn14file8turn13file19</w:t>
      </w:r>
    </w:p>
    <w:p>
      <w:r>
        <w:t>This document defines semantic flows only. It does not authorize final screens, navigation labels, UI copy, physical schema, API payloads, final permission IDs, or provider-specific implementation.</w:t>
      </w:r>
    </w:p>
    <w:p>
      <w:pPr>
        <w:pStyle w:val="Heading1"/>
      </w:pPr>
      <w:r>
        <w:t>2. Gate Result</w:t>
      </w:r>
    </w:p>
    <w:p>
      <w:r>
        <w:t>PASS — USER FLOW IMPACT DEFINED WITH CONTROLLED DOWNSTREAM DETAILS.</w:t>
      </w:r>
    </w:p>
    <w:p>
      <w:r>
        <w:t>No new user Open Decision is required. AEP4-OD-08 remains OPEN/DEFERRED. MADCR-049, MADCR-053 and MADCR-054 remain independent governance dependencies.</w:t>
      </w:r>
    </w:p>
    <w:p>
      <w:pPr>
        <w:pStyle w:val="Heading1"/>
      </w:pPr>
      <w:r>
        <w:t>3. Canonical Flow Architecture</w:t>
      </w:r>
    </w:p>
    <w:p>
      <w:r>
        <w:t>Learning / Course Context</w:t>
        <w:br/>
        <w:t xml:space="preserve">        ↓</w:t>
        <w:br/>
        <w:t>Learning Session Discovery / Schedule</w:t>
        <w:br/>
        <w:t xml:space="preserve">        ↓</w:t>
        <w:br/>
        <w:t>Eligibility + Authorization</w:t>
        <w:br/>
        <w:t xml:space="preserve">        ↓</w:t>
        <w:br/>
        <w:t>Session Enrollment</w:t>
        <w:br/>
        <w:t xml:space="preserve">        ↓</w:t>
        <w:br/>
        <w:t>PENDING</w:t>
        <w:br/>
        <w:t xml:space="preserve">        ↓</w:t>
        <w:br/>
        <w:t>Activation decision using applicable authorization/entitlement outcome</w:t>
        <w:br/>
        <w:t xml:space="preserve">        ↓</w:t>
        <w:br/>
        <w:t>ACTIVE</w:t>
        <w:br/>
        <w:t xml:space="preserve">        ↓</w:t>
        <w:br/>
        <w:t>Provider Access</w:t>
        <w:br/>
        <w:t xml:space="preserve">        ↓</w:t>
        <w:br/>
        <w:t>Provider Participation Evidence</w:t>
        <w:br/>
        <w:t xml:space="preserve">        ↓</w:t>
        <w:br/>
        <w:t>Attendance Evaluation</w:t>
        <w:br/>
        <w:t xml:space="preserve">        ↓</w:t>
        <w:br/>
        <w:t>Completion Policy</w:t>
        <w:br/>
        <w:t xml:space="preserve">        ↓</w:t>
        <w:br/>
        <w:t>COMPLETED (Session Enrollment / governed outcome)</w:t>
        <w:br/>
        <w:t xml:space="preserve">        ↓</w:t>
        <w:br/>
        <w:t>Learning Activity evidence/outcome</w:t>
        <w:br/>
        <w:t xml:space="preserve">        ↓</w:t>
        <w:br/>
        <w:t>Learning Economy / Assessment / Awarding consume according to their own authority</w:t>
      </w:r>
    </w:p>
    <w:p>
      <w:pPr>
        <w:pStyle w:val="Heading1"/>
      </w:pPr>
      <w:r>
        <w:t>4. Flow A — Learner Discovers a Learning Session</w:t>
      </w:r>
    </w:p>
    <w:p>
      <w:pPr>
        <w:pStyle w:val="ListNumber"/>
      </w:pPr>
      <w:r>
        <w:t>START — Agent/Learner is authenticated.</w:t>
      </w:r>
    </w:p>
    <w:p>
      <w:pPr>
        <w:pStyle w:val="ListNumber"/>
      </w:pPr>
      <w:r>
        <w:t>Open Learning Center / relevant learning surface.</w:t>
      </w:r>
    </w:p>
    <w:p>
      <w:pPr>
        <w:pStyle w:val="ListNumber"/>
      </w:pPr>
      <w:r>
        <w:t>System shows course/session information according to visibility and eligibility rules.</w:t>
      </w:r>
    </w:p>
    <w:p>
      <w:pPr>
        <w:pStyle w:val="ListNumber"/>
      </w:pPr>
      <w:r>
        <w:t>Learner selects a Learning Session.</w:t>
      </w:r>
    </w:p>
    <w:p>
      <w:pPr>
        <w:pStyle w:val="ListNumber"/>
      </w:pPr>
      <w:r>
        <w:t>System displays session type (BROADCAST / INTERACTIVE / ON_DEMAND), schedule/status, prerequisites/eligibility where applicable, access requirements, and permitted session details.</w:t>
      </w:r>
    </w:p>
    <w:p>
      <w:pPr>
        <w:pStyle w:val="ListNumber"/>
      </w:pPr>
      <w:r>
        <w:t>Existing M04 Course remains the learning container where applicable; M05 Event Calendar may surface the session but does not become the Learning Session authority.</w:t>
      </w:r>
    </w:p>
    <w:p>
      <w:pPr>
        <w:pStyle w:val="ListNumber"/>
      </w:pPr>
      <w:r>
        <w:t>Learner chooses the applicable enrollment/access action.</w:t>
      </w:r>
    </w:p>
    <w:p>
      <w:pPr>
        <w:pStyle w:val="ListNumber"/>
      </w:pPr>
      <w:r>
        <w:t>Proceed to Flow B — Session Enrollment.</w:t>
      </w:r>
    </w:p>
    <w:p>
      <w:pPr>
        <w:pStyle w:val="Heading1"/>
      </w:pPr>
      <w:r>
        <w:t>5. Flow B — Session Enrollment / Activation</w:t>
      </w:r>
    </w:p>
    <w:p>
      <w:r>
        <w:t>Agent → Select Session → Request Enrollment → PENDING → Eligibility/Authorization/Commercial Outcome Check → Activation Decision</w:t>
      </w:r>
    </w:p>
    <w:p>
      <w:pPr>
        <w:pStyle w:val="ListBullet"/>
      </w:pPr>
      <w:r>
        <w:t>System creates a Session Enrollment in PENDING when the semantic enrollment/access request is accepted.</w:t>
      </w:r>
    </w:p>
    <w:p>
      <w:pPr>
        <w:pStyle w:val="ListBullet"/>
      </w:pPr>
      <w:r>
        <w:t>PENDING means the enrollment/access request is awaiting activation; it is not yet permission to enter the provider session.</w:t>
      </w:r>
    </w:p>
    <w:p>
      <w:pPr>
        <w:pStyle w:val="ListBullet"/>
      </w:pPr>
      <w:r>
        <w:t>System evaluates the applicable eligibility, authorization and commercial/entitlement outcome. Payment processing itself remains outside Learning Session.</w:t>
      </w:r>
    </w:p>
    <w:p>
      <w:pPr>
        <w:pStyle w:val="ListBullet"/>
      </w:pPr>
      <w:r>
        <w:t>If activation conditions are satisfied, Session Enrollment becomes ACTIVE and session access is granted.</w:t>
      </w:r>
    </w:p>
    <w:p>
      <w:pPr>
        <w:pStyle w:val="ListBullet"/>
      </w:pPr>
      <w:r>
        <w:t>If activation conditions are not satisfied, the enrollment remains non-active and the user receives the applicable next action/status. Exact failure/status taxonomy remains downstream.</w:t>
      </w:r>
    </w:p>
    <w:p>
      <w:pPr>
        <w:pStyle w:val="ListBullet"/>
      </w:pPr>
      <w:r>
        <w:t>Payment success alone does not equal ACTIVE; Learning Session consumes the owning Commercial/Payment outcome together with the applicable access/authorization rule.</w:t>
      </w:r>
    </w:p>
    <w:p>
      <w:pPr>
        <w:pStyle w:val="ListBullet"/>
      </w:pPr>
      <w:r>
        <w:t>Free-to-learn paths remain governed by Learning Path rules; a paid session must not silently replace a required free-learning pathway where the Learning Path is defined as free-to-learn.</w:t>
      </w:r>
    </w:p>
    <w:p>
      <w:pPr>
        <w:pStyle w:val="Heading1"/>
      </w:pPr>
      <w:r>
        <w:t>6. Flow C — Active Learner Joins a Session</w:t>
      </w:r>
    </w:p>
    <w:p>
      <w:pPr>
        <w:pStyle w:val="ListNumber"/>
      </w:pPr>
      <w:r>
        <w:t>Agent opens an ACTIVE Session Enrollment.</w:t>
      </w:r>
    </w:p>
    <w:p>
      <w:pPr>
        <w:pStyle w:val="ListNumber"/>
      </w:pPr>
      <w:r>
        <w:t>System checks current authorization/visibility/access scope.</w:t>
      </w:r>
    </w:p>
    <w:p>
      <w:pPr>
        <w:pStyle w:val="ListNumber"/>
      </w:pPr>
      <w:r>
        <w:t>System resolves provider access through the Provider Adapter / Provider Binding.</w:t>
      </w:r>
    </w:p>
    <w:p>
      <w:pPr>
        <w:pStyle w:val="ListNumber"/>
      </w:pPr>
      <w:r>
        <w:t>System provides or resolves the provider join/access mechanism.</w:t>
      </w:r>
    </w:p>
    <w:p>
      <w:pPr>
        <w:pStyle w:val="ListNumber"/>
      </w:pPr>
      <w:r>
        <w:t>Learner enters the external provider environment.</w:t>
      </w:r>
    </w:p>
    <w:p>
      <w:pPr>
        <w:pStyle w:val="ListNumber"/>
      </w:pPr>
      <w:r>
        <w:t>Provider participation events are received through the integration boundary.</w:t>
      </w:r>
    </w:p>
    <w:p>
      <w:pPr>
        <w:pStyle w:val="ListNumber"/>
      </w:pPr>
      <w:r>
        <w:t>Provider evidence is validated, correlated, normalized and processed idempotently.</w:t>
      </w:r>
    </w:p>
    <w:p>
      <w:pPr>
        <w:pStyle w:val="ListNumber"/>
      </w:pPr>
      <w:r>
        <w:t>Participation Evidence is associated with the same semantic Learning Session and Session Enrollment.</w:t>
      </w:r>
    </w:p>
    <w:p>
      <w:pPr>
        <w:pStyle w:val="ListNumber"/>
      </w:pPr>
      <w:r>
        <w:t>Provider session ID is never treated as the Learning Session identity or as authorization.</w:t>
      </w:r>
    </w:p>
    <w:p>
      <w:pPr>
        <w:pStyle w:val="Heading1"/>
      </w:pPr>
      <w:r>
        <w:t>7. Flow D — Attendance Evaluation</w:t>
      </w:r>
    </w:p>
    <w:p>
      <w:r>
        <w:t>Provider participation evidence → normalized evidence → attendance evaluation → governed attendance outcome</w:t>
      </w:r>
    </w:p>
    <w:p>
      <w:pPr>
        <w:pStyle w:val="ListBullet"/>
      </w:pPr>
      <w:r>
        <w:t>Provider JOIN/LEAVE or equivalent observations become evidence.</w:t>
      </w:r>
    </w:p>
    <w:p>
      <w:pPr>
        <w:pStyle w:val="ListBullet"/>
      </w:pPr>
      <w:r>
        <w:t>System does not equate JOIN with completion.</w:t>
      </w:r>
    </w:p>
    <w:p>
      <w:pPr>
        <w:pStyle w:val="ListBullet"/>
      </w:pPr>
      <w:r>
        <w:t>Attendance Evaluation applies the configured attendance policy parameters.</w:t>
      </w:r>
    </w:p>
    <w:p>
      <w:pPr>
        <w:pStyle w:val="ListBullet"/>
      </w:pPr>
      <w:r>
        <w:t>Exact minimum percentage, grace period, late join, early leave and override values remain downstream Business Rule/Configuration items.</w:t>
      </w:r>
    </w:p>
    <w:p>
      <w:pPr>
        <w:pStyle w:val="ListBullet"/>
      </w:pPr>
      <w:r>
        <w:t>Authorized review/correction, if later permitted, must be auditable; historical attendance is not silently rewritten.</w:t>
      </w:r>
    </w:p>
    <w:p>
      <w:pPr>
        <w:pStyle w:val="ListBullet"/>
      </w:pPr>
      <w:r>
        <w:t>Attendance outcome is owned by RUMAHAGEN, not by the provider.</w:t>
      </w:r>
    </w:p>
    <w:p>
      <w:pPr>
        <w:pStyle w:val="Heading1"/>
      </w:pPr>
      <w:r>
        <w:t>8. Flow E — Completion</w:t>
      </w:r>
    </w:p>
    <w:p>
      <w:pPr>
        <w:pStyle w:val="ListNumber"/>
      </w:pPr>
      <w:r>
        <w:t>System collects normalized participation/attendance evidence and any other required session completion evidence.</w:t>
      </w:r>
    </w:p>
    <w:p>
      <w:pPr>
        <w:pStyle w:val="ListNumber"/>
      </w:pPr>
      <w:r>
        <w:t>Governed Completion Policy evaluates the applicable conditions.</w:t>
      </w:r>
    </w:p>
    <w:p>
      <w:pPr>
        <w:pStyle w:val="ListNumber"/>
      </w:pPr>
      <w:r>
        <w:t>If conditions are not satisfied, the learner sees the unmet condition/next action where product policy allows.</w:t>
      </w:r>
    </w:p>
    <w:p>
      <w:pPr>
        <w:pStyle w:val="ListNumber"/>
      </w:pPr>
      <w:r>
        <w:t>If conditions are satisfied, the governed completion outcome is recorded.</w:t>
      </w:r>
    </w:p>
    <w:p>
      <w:pPr>
        <w:pStyle w:val="ListNumber"/>
      </w:pPr>
      <w:r>
        <w:t>Completion is not automatically competency, Credential, Certificate, or Title/Award.</w:t>
      </w:r>
    </w:p>
    <w:p>
      <w:pPr>
        <w:pStyle w:val="ListNumber"/>
      </w:pPr>
      <w:r>
        <w:t>Where assessment is required for competency/credential, the session flow does not bypass that assessment.</w:t>
      </w:r>
    </w:p>
    <w:p>
      <w:pPr>
        <w:pStyle w:val="ListNumber"/>
      </w:pPr>
      <w:r>
        <w:t>Qualifying completion may feed the Learning Activity boundary; Learning Economy remains the authority for Learning Point processing.</w:t>
      </w:r>
    </w:p>
    <w:p>
      <w:pPr>
        <w:pStyle w:val="ListNumber"/>
      </w:pPr>
      <w:r>
        <w:t>Official LP transactions are not created directly by Learning Session.</w:t>
      </w:r>
    </w:p>
    <w:p>
      <w:pPr>
        <w:pStyle w:val="Heading1"/>
      </w:pPr>
      <w:r>
        <w:t>9. Flow F — Recording / ON_DEMAND</w:t>
      </w:r>
    </w:p>
    <w:p>
      <w:pPr>
        <w:pStyle w:val="ListBullet"/>
      </w:pPr>
      <w:r>
        <w:t>If a recording is available, it is represented as an optional Session Artifact/reference.</w:t>
      </w:r>
    </w:p>
    <w:p>
      <w:pPr>
        <w:pStyle w:val="ListBullet"/>
      </w:pPr>
      <w:r>
        <w:t>Recording availability does not establish attendance or completion.</w:t>
      </w:r>
    </w:p>
    <w:p>
      <w:pPr>
        <w:pStyle w:val="ListBullet"/>
      </w:pPr>
      <w:r>
        <w:t>Retention/privacy/transcript/replay policy remains downstream/open.</w:t>
      </w:r>
    </w:p>
    <w:p>
      <w:pPr>
        <w:pStyle w:val="ListBullet"/>
      </w:pPr>
      <w:r>
        <w:t>Where product design later exposes the recording as ON_DEMAND learning, it must remain governed by Learning/learning-path rules.</w:t>
      </w:r>
    </w:p>
    <w:p>
      <w:pPr>
        <w:pStyle w:val="ListBullet"/>
      </w:pPr>
      <w:r>
        <w:t>Recording history should preserve provenance and provider/source reference.</w:t>
      </w:r>
    </w:p>
    <w:p>
      <w:pPr>
        <w:pStyle w:val="Heading1"/>
      </w:pPr>
      <w:r>
        <w:t>10. Flow G — Provider Failure / Recovery</w:t>
      </w:r>
    </w:p>
    <w:p>
      <w:pPr>
        <w:pStyle w:val="ListNumber"/>
      </w:pPr>
      <w:r>
        <w:t>Provider reports failure/error or the adapter detects provider execution failure.</w:t>
      </w:r>
    </w:p>
    <w:p>
      <w:pPr>
        <w:pStyle w:val="ListNumber"/>
      </w:pPr>
      <w:r>
        <w:t>System records provider/session failure evidence and preserves historical Learning state.</w:t>
      </w:r>
    </w:p>
    <w:p>
      <w:pPr>
        <w:pStyle w:val="ListNumber"/>
      </w:pPr>
      <w:r>
        <w:t>Automatic cross-provider failover is NOT assumed.</w:t>
      </w:r>
    </w:p>
    <w:p>
      <w:pPr>
        <w:pStyle w:val="ListNumber"/>
      </w:pPr>
      <w:r>
        <w:t>If an authorized/manual provider switch occurs, the Provider Binding changes while semantic Learning Session identity, valid enrollment, historical evidence and outcome continuity remain.</w:t>
      </w:r>
    </w:p>
    <w:p>
      <w:pPr>
        <w:pStyle w:val="ListNumber"/>
      </w:pPr>
      <w:r>
        <w:t>Replayed/duplicate provider events must be idempotently absorbed.</w:t>
      </w:r>
    </w:p>
    <w:p>
      <w:pPr>
        <w:pStyle w:val="ListNumber"/>
      </w:pPr>
      <w:r>
        <w:t>Out-of-order or invalid events must not create impossible lifecycle or completion states.</w:t>
      </w:r>
    </w:p>
    <w:p>
      <w:pPr>
        <w:pStyle w:val="ListNumber"/>
      </w:pPr>
      <w:r>
        <w:t>Recovery must not manufacture a second semantic Learning Session merely because provider infrastructure changes.</w:t>
      </w:r>
    </w:p>
    <w:p>
      <w:pPr>
        <w:pStyle w:val="Heading1"/>
      </w:pPr>
      <w:r>
        <w:t>11. Flow H — Unauthorized / Invalid Paths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Condition</w:t>
            </w:r>
          </w:p>
        </w:tc>
        <w:tc>
          <w:tcPr>
            <w:tcW w:type="dxa" w:w="3456"/>
          </w:tcPr>
          <w:p>
            <w:r>
              <w:t>Attempt</w:t>
            </w:r>
          </w:p>
        </w:tc>
        <w:tc>
          <w:tcPr>
            <w:tcW w:type="dxa" w:w="3456"/>
          </w:tcPr>
          <w:p>
            <w:r>
              <w:t>System behavior</w:t>
            </w:r>
          </w:p>
        </w:tc>
      </w:tr>
      <w:tr>
        <w:tc>
          <w:tcPr>
            <w:tcW w:type="dxa" w:w="3456"/>
          </w:tcPr>
          <w:p>
            <w:r>
              <w:t>Not authenticated</w:t>
            </w:r>
          </w:p>
        </w:tc>
        <w:tc>
          <w:tcPr>
            <w:tcW w:type="dxa" w:w="3456"/>
          </w:tcPr>
          <w:p>
            <w:r>
              <w:t>Access protected session</w:t>
            </w:r>
          </w:p>
        </w:tc>
        <w:tc>
          <w:tcPr>
            <w:tcW w:type="dxa" w:w="3456"/>
          </w:tcPr>
          <w:p>
            <w:r>
              <w:t>Authentication required; no provider access.</w:t>
            </w:r>
          </w:p>
        </w:tc>
      </w:tr>
      <w:tr>
        <w:tc>
          <w:tcPr>
            <w:tcW w:type="dxa" w:w="3456"/>
          </w:tcPr>
          <w:p>
            <w:r>
              <w:t>Not eligible</w:t>
            </w:r>
          </w:p>
        </w:tc>
        <w:tc>
          <w:tcPr>
            <w:tcW w:type="dxa" w:w="3456"/>
          </w:tcPr>
          <w:p>
            <w:r>
              <w:t>Attempt enrollment/access</w:t>
            </w:r>
          </w:p>
        </w:tc>
        <w:tc>
          <w:tcPr>
            <w:tcW w:type="dxa" w:w="3456"/>
          </w:tcPr>
          <w:p>
            <w:r>
              <w:t>Enrollment/access blocked according to eligibility rule.</w:t>
            </w:r>
          </w:p>
        </w:tc>
      </w:tr>
      <w:tr>
        <w:tc>
          <w:tcPr>
            <w:tcW w:type="dxa" w:w="3456"/>
          </w:tcPr>
          <w:p>
            <w:r>
              <w:t>PENDING enrollment</w:t>
            </w:r>
          </w:p>
        </w:tc>
        <w:tc>
          <w:tcPr>
            <w:tcW w:type="dxa" w:w="3456"/>
          </w:tcPr>
          <w:p>
            <w:r>
              <w:t>Attempt join</w:t>
            </w:r>
          </w:p>
        </w:tc>
        <w:tc>
          <w:tcPr>
            <w:tcW w:type="dxa" w:w="3456"/>
          </w:tcPr>
          <w:p>
            <w:r>
              <w:t>Provider access denied until activation.</w:t>
            </w:r>
          </w:p>
        </w:tc>
      </w:tr>
      <w:tr>
        <w:tc>
          <w:tcPr>
            <w:tcW w:type="dxa" w:w="3456"/>
          </w:tcPr>
          <w:p>
            <w:r>
              <w:t>ACTIVE absent</w:t>
            </w:r>
          </w:p>
        </w:tc>
        <w:tc>
          <w:tcPr>
            <w:tcW w:type="dxa" w:w="3456"/>
          </w:tcPr>
          <w:p>
            <w:r>
              <w:t>Attempt join</w:t>
            </w:r>
          </w:p>
        </w:tc>
        <w:tc>
          <w:tcPr>
            <w:tcW w:type="dxa" w:w="3456"/>
          </w:tcPr>
          <w:p>
            <w:r>
              <w:t>Authorization/access denied.</w:t>
            </w:r>
          </w:p>
        </w:tc>
      </w:tr>
      <w:tr>
        <w:tc>
          <w:tcPr>
            <w:tcW w:type="dxa" w:w="3456"/>
          </w:tcPr>
          <w:p>
            <w:r>
              <w:t>Learner attempts provider switch</w:t>
            </w:r>
          </w:p>
        </w:tc>
        <w:tc>
          <w:tcPr>
            <w:tcW w:type="dxa" w:w="3456"/>
          </w:tcPr>
          <w:p>
            <w:r>
              <w:t>Change Provider Binding</w:t>
            </w:r>
          </w:p>
        </w:tc>
        <w:tc>
          <w:tcPr>
            <w:tcW w:type="dxa" w:w="3456"/>
          </w:tcPr>
          <w:p>
            <w:r>
              <w:t>Denied; provider binding is infrastructure authority.</w:t>
            </w:r>
          </w:p>
        </w:tc>
      </w:tr>
      <w:tr>
        <w:tc>
          <w:tcPr>
            <w:tcW w:type="dxa" w:w="3456"/>
          </w:tcPr>
          <w:p>
            <w:r>
              <w:t>Learner attempts attendance override</w:t>
            </w:r>
          </w:p>
        </w:tc>
        <w:tc>
          <w:tcPr>
            <w:tcW w:type="dxa" w:w="3456"/>
          </w:tcPr>
          <w:p>
            <w:r>
              <w:t>Modify attendance</w:t>
            </w:r>
          </w:p>
        </w:tc>
        <w:tc>
          <w:tcPr>
            <w:tcW w:type="dxa" w:w="3456"/>
          </w:tcPr>
          <w:p>
            <w:r>
              <w:t>Denied.</w:t>
            </w:r>
          </w:p>
        </w:tc>
      </w:tr>
      <w:tr>
        <w:tc>
          <w:tcPr>
            <w:tcW w:type="dxa" w:w="3456"/>
          </w:tcPr>
          <w:p>
            <w:r>
              <w:t>Provider webhook invalid</w:t>
            </w:r>
          </w:p>
        </w:tc>
        <w:tc>
          <w:tcPr>
            <w:tcW w:type="dxa" w:w="3456"/>
          </w:tcPr>
          <w:p>
            <w:r>
              <w:t>Mutate Learning state</w:t>
            </w:r>
          </w:p>
        </w:tc>
        <w:tc>
          <w:tcPr>
            <w:tcW w:type="dxa" w:w="3456"/>
          </w:tcPr>
          <w:p>
            <w:r>
              <w:t>Rejected/quarantined; no authoritative state mutation.</w:t>
            </w:r>
          </w:p>
        </w:tc>
      </w:tr>
      <w:tr>
        <w:tc>
          <w:tcPr>
            <w:tcW w:type="dxa" w:w="3456"/>
          </w:tcPr>
          <w:p>
            <w:r>
              <w:t>Duplicate provider event</w:t>
            </w:r>
          </w:p>
        </w:tc>
        <w:tc>
          <w:tcPr>
            <w:tcW w:type="dxa" w:w="3456"/>
          </w:tcPr>
          <w:p>
            <w:r>
              <w:t>Create evidence again</w:t>
            </w:r>
          </w:p>
        </w:tc>
        <w:tc>
          <w:tcPr>
            <w:tcW w:type="dxa" w:w="3456"/>
          </w:tcPr>
          <w:p>
            <w:r>
              <w:t>Idempotently absorbed.</w:t>
            </w:r>
          </w:p>
        </w:tc>
      </w:tr>
      <w:tr>
        <w:tc>
          <w:tcPr>
            <w:tcW w:type="dxa" w:w="3456"/>
          </w:tcPr>
          <w:p>
            <w:r>
              <w:t>Provider event says participant joined</w:t>
            </w:r>
          </w:p>
        </w:tc>
        <w:tc>
          <w:tcPr>
            <w:tcW w:type="dxa" w:w="3456"/>
          </w:tcPr>
          <w:p>
            <w:r>
              <w:t>Set completion</w:t>
            </w:r>
          </w:p>
        </w:tc>
        <w:tc>
          <w:tcPr>
            <w:tcW w:type="dxa" w:w="3456"/>
          </w:tcPr>
          <w:p>
            <w:r>
              <w:t>Prohibited; evidence only.</w:t>
            </w:r>
          </w:p>
        </w:tc>
      </w:tr>
      <w:tr>
        <w:tc>
          <w:tcPr>
            <w:tcW w:type="dxa" w:w="3456"/>
          </w:tcPr>
          <w:p>
            <w:r>
              <w:t>Completion satisfied</w:t>
            </w:r>
          </w:p>
        </w:tc>
        <w:tc>
          <w:tcPr>
            <w:tcW w:type="dxa" w:w="3456"/>
          </w:tcPr>
          <w:p>
            <w:r>
              <w:t>Create Award directly</w:t>
            </w:r>
          </w:p>
        </w:tc>
        <w:tc>
          <w:tcPr>
            <w:tcW w:type="dxa" w:w="3456"/>
          </w:tcPr>
          <w:p>
            <w:r>
              <w:t>Prohibited; Awarding remains separate authority.</w:t>
            </w:r>
          </w:p>
        </w:tc>
      </w:tr>
      <w:tr>
        <w:tc>
          <w:tcPr>
            <w:tcW w:type="dxa" w:w="3456"/>
          </w:tcPr>
          <w:p>
            <w:r>
              <w:t>Session completion</w:t>
            </w:r>
          </w:p>
        </w:tc>
        <w:tc>
          <w:tcPr>
            <w:tcW w:type="dxa" w:w="3456"/>
          </w:tcPr>
          <w:p>
            <w:r>
              <w:t>Create LP directly</w:t>
            </w:r>
          </w:p>
        </w:tc>
        <w:tc>
          <w:tcPr>
            <w:tcW w:type="dxa" w:w="3456"/>
          </w:tcPr>
          <w:p>
            <w:r>
              <w:t>Prohibited; Learning Economy remains LP authority.</w:t>
            </w:r>
          </w:p>
        </w:tc>
      </w:tr>
      <w:tr>
        <w:tc>
          <w:tcPr>
            <w:tcW w:type="dxa" w:w="3456"/>
          </w:tcPr>
          <w:p>
            <w:r>
              <w:t>Paid access without required free path</w:t>
            </w:r>
          </w:p>
        </w:tc>
        <w:tc>
          <w:tcPr>
            <w:tcW w:type="dxa" w:w="3456"/>
          </w:tcPr>
          <w:p>
            <w:r>
              <w:t>Bypass required free learning</w:t>
            </w:r>
          </w:p>
        </w:tc>
        <w:tc>
          <w:tcPr>
            <w:tcW w:type="dxa" w:w="3456"/>
          </w:tcPr>
          <w:p>
            <w:r>
              <w:t>Prohibited where the Learning Path defines free-to-learn requirement.</w:t>
            </w:r>
          </w:p>
        </w:tc>
      </w:tr>
    </w:tbl>
    <w:p>
      <w:pPr>
        <w:pStyle w:val="Heading1"/>
      </w:pPr>
      <w:r>
        <w:t>12. Flow I — Authorized Session Management</w:t>
      </w:r>
    </w:p>
    <w:p>
      <w:r>
        <w:t>The exact host/instructor authority remains conditional on MADCR-054; therefore this flow describes capability semantics, not a final role assignment.</w:t>
      </w:r>
    </w:p>
    <w:p>
      <w:pPr>
        <w:pStyle w:val="ListNumber"/>
      </w:pPr>
      <w:r>
        <w:t>Authorized Learning actor opens Learning Session management.</w:t>
      </w:r>
    </w:p>
    <w:p>
      <w:pPr>
        <w:pStyle w:val="ListNumber"/>
      </w:pPr>
      <w:r>
        <w:t>Create/update session within assigned Learning authority.</w:t>
      </w:r>
    </w:p>
    <w:p>
      <w:pPr>
        <w:pStyle w:val="ListNumber"/>
      </w:pPr>
      <w:r>
        <w:t>Configure session type, schedule and applicable access/visibility settings within permitted configuration.</w:t>
      </w:r>
    </w:p>
    <w:p>
      <w:pPr>
        <w:pStyle w:val="ListNumber"/>
      </w:pPr>
      <w:r>
        <w:t>Create/change Provider Binding only if the actor has explicit provider-management authority.</w:t>
      </w:r>
    </w:p>
    <w:p>
      <w:pPr>
        <w:pStyle w:val="ListNumber"/>
      </w:pPr>
      <w:r>
        <w:t>Transition session through governed lifecycle actions: DRAFT → SCHEDULED → LIVE → ENDED, with CANCELLED/FAILED exceptions.</w:t>
      </w:r>
    </w:p>
    <w:p>
      <w:pPr>
        <w:pStyle w:val="ListNumber"/>
      </w:pPr>
      <w:r>
        <w:t>Monitor normalized participation/evidence and governed attendance/completion outcomes where authorized.</w:t>
      </w:r>
    </w:p>
    <w:p>
      <w:pPr>
        <w:pStyle w:val="ListNumber"/>
      </w:pPr>
      <w:r>
        <w:t>Session management does not confer Awarding authority.</w:t>
      </w:r>
    </w:p>
    <w:p>
      <w:pPr>
        <w:pStyle w:val="Heading1"/>
      </w:pPr>
      <w:r>
        <w:t>13. Flow J — Cross-Module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Domain</w:t>
            </w:r>
          </w:p>
        </w:tc>
        <w:tc>
          <w:tcPr>
            <w:tcW w:type="dxa" w:w="3456"/>
          </w:tcPr>
          <w:p>
            <w:r>
              <w:t>Flow integration</w:t>
            </w:r>
          </w:p>
        </w:tc>
        <w:tc>
          <w:tcPr>
            <w:tcW w:type="dxa" w:w="3456"/>
          </w:tcPr>
          <w:p>
            <w:r>
              <w:t>Boundary</w:t>
            </w:r>
          </w:p>
        </w:tc>
      </w:tr>
      <w:tr>
        <w:tc>
          <w:tcPr>
            <w:tcW w:type="dxa" w:w="3456"/>
          </w:tcPr>
          <w:p>
            <w:r>
              <w:t>M04 Course</w:t>
            </w:r>
          </w:p>
        </w:tc>
        <w:tc>
          <w:tcPr>
            <w:tcW w:type="dxa" w:w="3456"/>
          </w:tcPr>
          <w:p>
            <w:r>
              <w:t>Course remains learning container where applicable; Session may reference it.</w:t>
            </w:r>
          </w:p>
        </w:tc>
        <w:tc>
          <w:tcPr>
            <w:tcW w:type="dxa" w:w="3456"/>
          </w:tcPr>
          <w:p>
            <w:r>
              <w:t>Do not replace Course Enrollment.</w:t>
            </w:r>
          </w:p>
        </w:tc>
      </w:tr>
      <w:tr>
        <w:tc>
          <w:tcPr>
            <w:tcW w:type="dxa" w:w="3456"/>
          </w:tcPr>
          <w:p>
            <w:r>
              <w:t>M04 Assessment/Quiz</w:t>
            </w:r>
          </w:p>
        </w:tc>
        <w:tc>
          <w:tcPr>
            <w:tcW w:type="dxa" w:w="3456"/>
          </w:tcPr>
          <w:p>
            <w:r>
              <w:t>Assessment remains separate evidence/competency gate.</w:t>
            </w:r>
          </w:p>
        </w:tc>
        <w:tc>
          <w:tcPr>
            <w:tcW w:type="dxa" w:w="3456"/>
          </w:tcPr>
          <w:p>
            <w:r>
              <w:t>Session completion cannot bypass required assessment.</w:t>
            </w:r>
          </w:p>
        </w:tc>
      </w:tr>
      <w:tr>
        <w:tc>
          <w:tcPr>
            <w:tcW w:type="dxa" w:w="3456"/>
          </w:tcPr>
          <w:p>
            <w:r>
              <w:t>M04 Certificate</w:t>
            </w:r>
          </w:p>
        </w:tc>
        <w:tc>
          <w:tcPr>
            <w:tcW w:type="dxa" w:w="3456"/>
          </w:tcPr>
          <w:p>
            <w:r>
              <w:t>Certificate remains Learning credential.</w:t>
            </w:r>
          </w:p>
        </w:tc>
        <w:tc>
          <w:tcPr>
            <w:tcW w:type="dxa" w:w="3456"/>
          </w:tcPr>
          <w:p>
            <w:r>
              <w:t>Do not treat as Award Instance.</w:t>
            </w:r>
          </w:p>
        </w:tc>
      </w:tr>
      <w:tr>
        <w:tc>
          <w:tcPr>
            <w:tcW w:type="dxa" w:w="3456"/>
          </w:tcPr>
          <w:p>
            <w:r>
              <w:t>M05 Event</w:t>
            </w:r>
          </w:p>
        </w:tc>
        <w:tc>
          <w:tcPr>
            <w:tcW w:type="dxa" w:w="3456"/>
          </w:tcPr>
          <w:p>
            <w:r>
              <w:t>May surface/schedule a Learning Session.</w:t>
            </w:r>
          </w:p>
        </w:tc>
        <w:tc>
          <w:tcPr>
            <w:tcW w:type="dxa" w:w="3456"/>
          </w:tcPr>
          <w:p>
            <w:r>
              <w:t>Event is not session authority.</w:t>
            </w:r>
          </w:p>
        </w:tc>
      </w:tr>
      <w:tr>
        <w:tc>
          <w:tcPr>
            <w:tcW w:type="dxa" w:w="3456"/>
          </w:tcPr>
          <w:p>
            <w:r>
              <w:t>M05 EventRegistration</w:t>
            </w:r>
          </w:p>
        </w:tc>
        <w:tc>
          <w:tcPr>
            <w:tcW w:type="dxa" w:w="3456"/>
          </w:tcPr>
          <w:p>
            <w:r>
              <w:t>Existing RSVP remains event registration.</w:t>
            </w:r>
          </w:p>
        </w:tc>
        <w:tc>
          <w:tcPr>
            <w:tcW w:type="dxa" w:w="3456"/>
          </w:tcPr>
          <w:p>
            <w:r>
              <w:t>Do not use as Session Enrollment.</w:t>
            </w:r>
          </w:p>
        </w:tc>
      </w:tr>
      <w:tr>
        <w:tc>
          <w:tcPr>
            <w:tcW w:type="dxa" w:w="3456"/>
          </w:tcPr>
          <w:p>
            <w:r>
              <w:t>Commercial/Payment</w:t>
            </w:r>
          </w:p>
        </w:tc>
        <w:tc>
          <w:tcPr>
            <w:tcW w:type="dxa" w:w="3456"/>
          </w:tcPr>
          <w:p>
            <w:r>
              <w:t>Provides trusted entitlement/payment outcome.</w:t>
            </w:r>
          </w:p>
        </w:tc>
        <w:tc>
          <w:tcPr>
            <w:tcW w:type="dxa" w:w="3456"/>
          </w:tcPr>
          <w:p>
            <w:r>
              <w:t>Learning consumes outcome; no payment logic duplication.</w:t>
            </w:r>
          </w:p>
        </w:tc>
      </w:tr>
      <w:tr>
        <w:tc>
          <w:tcPr>
            <w:tcW w:type="dxa" w:w="3456"/>
          </w:tcPr>
          <w:p>
            <w:r>
              <w:t>Learning Economy</w:t>
            </w:r>
          </w:p>
        </w:tc>
        <w:tc>
          <w:tcPr>
            <w:tcW w:type="dxa" w:w="3456"/>
          </w:tcPr>
          <w:p>
            <w:r>
              <w:t>Consumes qualifying Learning Activity outcome and owns LP processing.</w:t>
            </w:r>
          </w:p>
        </w:tc>
        <w:tc>
          <w:tcPr>
            <w:tcW w:type="dxa" w:w="3456"/>
          </w:tcPr>
          <w:p>
            <w:r>
              <w:t>Session cannot issue official LP.</w:t>
            </w:r>
          </w:p>
        </w:tc>
      </w:tr>
      <w:tr>
        <w:tc>
          <w:tcPr>
            <w:tcW w:type="dxa" w:w="3456"/>
          </w:tcPr>
          <w:p>
            <w:r>
              <w:t>AEP3 Awarding</w:t>
            </w:r>
          </w:p>
        </w:tc>
        <w:tc>
          <w:tcPr>
            <w:tcW w:type="dxa" w:w="3456"/>
          </w:tcPr>
          <w:p>
            <w:r>
              <w:t>May consume qualifying learning evidence/outcome.</w:t>
            </w:r>
          </w:p>
        </w:tc>
        <w:tc>
          <w:tcPr>
            <w:tcW w:type="dxa" w:w="3456"/>
          </w:tcPr>
          <w:p>
            <w:r>
              <w:t>Session does not issue Title/Award.</w:t>
            </w:r>
          </w:p>
        </w:tc>
      </w:tr>
      <w:tr>
        <w:tc>
          <w:tcPr>
            <w:tcW w:type="dxa" w:w="3456"/>
          </w:tcPr>
          <w:p>
            <w:r>
              <w:t>Workspace/Organization</w:t>
            </w:r>
          </w:p>
        </w:tc>
        <w:tc>
          <w:tcPr>
            <w:tcW w:type="dxa" w:w="3456"/>
          </w:tcPr>
          <w:p>
            <w:r>
              <w:t>Provides applicable context/authorization layer.</w:t>
            </w:r>
          </w:p>
        </w:tc>
        <w:tc>
          <w:tcPr>
            <w:tcW w:type="dxa" w:w="3456"/>
          </w:tcPr>
          <w:p>
            <w:r>
              <w:t>Exact cardinality/scope remains downstream.</w:t>
            </w:r>
          </w:p>
        </w:tc>
      </w:tr>
      <w:tr>
        <w:tc>
          <w:tcPr>
            <w:tcW w:type="dxa" w:w="3456"/>
          </w:tcPr>
          <w:p>
            <w:r>
              <w:t>Notifications</w:t>
            </w:r>
          </w:p>
        </w:tc>
        <w:tc>
          <w:tcPr>
            <w:tcW w:type="dxa" w:w="3456"/>
          </w:tcPr>
          <w:p>
            <w:r>
              <w:t>Consumes session lifecycle/reminder/status events.</w:t>
            </w:r>
          </w:p>
        </w:tc>
        <w:tc>
          <w:tcPr>
            <w:tcW w:type="dxa" w:w="3456"/>
          </w:tcPr>
          <w:p>
            <w:r>
              <w:t>Exact notification contract remains downstream.</w:t>
            </w:r>
          </w:p>
        </w:tc>
      </w:tr>
    </w:tbl>
    <w:p>
      <w:pPr>
        <w:pStyle w:val="Heading1"/>
      </w:pPr>
      <w:r>
        <w:t>14. Existing Flow Preservation</w:t>
      </w:r>
    </w:p>
    <w:p>
      <w:pPr>
        <w:pStyle w:val="ListBullet"/>
      </w:pPr>
      <w:r>
        <w:t>Existing M04 self-enrollment into free courses remains intact.</w:t>
      </w:r>
    </w:p>
    <w:p>
      <w:pPr>
        <w:pStyle w:val="ListBullet"/>
      </w:pPr>
      <w:r>
        <w:t>Existing course → lesson/assessment → completion/certificate flow remains intact.</w:t>
      </w:r>
    </w:p>
    <w:p>
      <w:pPr>
        <w:pStyle w:val="ListBullet"/>
      </w:pPr>
      <w:r>
        <w:t>Existing M05 Event RSVP remains intact.</w:t>
      </w:r>
    </w:p>
    <w:p>
      <w:pPr>
        <w:pStyle w:val="ListBullet"/>
      </w:pPr>
      <w:r>
        <w:t>Learning Session integration with the Event Calendar is additive/integrative; it does not repurpose Event as the semantic session authority.</w:t>
      </w:r>
    </w:p>
    <w:p>
      <w:pPr>
        <w:pStyle w:val="ListBullet"/>
      </w:pPr>
      <w:r>
        <w:t>Existing Dashboard may surface Learning progress, session reminders and learning outcomes, but dashboard remains an aggregation surface, not a new authority.</w:t>
      </w:r>
    </w:p>
    <w:p>
      <w:pPr>
        <w:pStyle w:val="ListBullet"/>
      </w:pPr>
      <w:r>
        <w:t>Existing Admin/Instructor Learning Center content-management flow remains; AEP4 adds session capability rather than replacing course content management.</w:t>
      </w:r>
    </w:p>
    <w:p>
      <w:pPr>
        <w:pStyle w:val="Heading1"/>
      </w:pPr>
      <w:r>
        <w:t>15. UI / UX Details Deliberately Not Locked</w:t>
      </w:r>
    </w:p>
    <w:p>
      <w:pPr>
        <w:pStyle w:val="ListBullet"/>
      </w:pPr>
      <w:r>
        <w:t>Exact screen names/navigation labels.</w:t>
      </w:r>
    </w:p>
    <w:p>
      <w:pPr>
        <w:pStyle w:val="ListBullet"/>
      </w:pPr>
      <w:r>
        <w:t>Exact enrollment button wording.</w:t>
      </w:r>
    </w:p>
    <w:p>
      <w:pPr>
        <w:pStyle w:val="ListBullet"/>
      </w:pPr>
      <w:r>
        <w:t>Exact pending/active error messages.</w:t>
      </w:r>
    </w:p>
    <w:p>
      <w:pPr>
        <w:pStyle w:val="ListBullet"/>
      </w:pPr>
      <w:r>
        <w:t>Exact provider join UI.</w:t>
      </w:r>
    </w:p>
    <w:p>
      <w:pPr>
        <w:pStyle w:val="ListBullet"/>
      </w:pPr>
      <w:r>
        <w:t>Exact attendance dashboard.</w:t>
      </w:r>
    </w:p>
    <w:p>
      <w:pPr>
        <w:pStyle w:val="ListBullet"/>
      </w:pPr>
      <w:r>
        <w:t>Exact recording player and transcript UX.</w:t>
      </w:r>
    </w:p>
    <w:p>
      <w:pPr>
        <w:pStyle w:val="ListBullet"/>
      </w:pPr>
      <w:r>
        <w:t>Exact notification copy.</w:t>
      </w:r>
    </w:p>
    <w:p>
      <w:pPr>
        <w:pStyle w:val="ListBullet"/>
      </w:pPr>
      <w:r>
        <w:t>Exact session calendar layout.</w:t>
      </w:r>
    </w:p>
    <w:p>
      <w:pPr>
        <w:pStyle w:val="ListBullet"/>
      </w:pPr>
      <w:r>
        <w:t>Exact role labels for host/instructor.</w:t>
      </w:r>
    </w:p>
    <w:p>
      <w:pPr>
        <w:pStyle w:val="ListBullet"/>
      </w:pPr>
      <w:r>
        <w:t>Exact provider branding/display.</w:t>
      </w:r>
    </w:p>
    <w:p>
      <w:pPr>
        <w:pStyle w:val="Heading1"/>
      </w:pPr>
      <w:r>
        <w:t>16. Open / Deferred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Item</w:t>
            </w:r>
          </w:p>
        </w:tc>
        <w:tc>
          <w:tcPr>
            <w:tcW w:type="dxa" w:w="2592"/>
          </w:tcPr>
          <w:p>
            <w:r>
              <w:t>Question</w:t>
            </w:r>
          </w:p>
        </w:tc>
        <w:tc>
          <w:tcPr>
            <w:tcW w:type="dxa" w:w="2592"/>
          </w:tcPr>
          <w:p>
            <w:r>
              <w:t>Status</w:t>
            </w:r>
          </w:p>
        </w:tc>
        <w:tc>
          <w:tcPr>
            <w:tcW w:type="dxa" w:w="2592"/>
          </w:tcPr>
          <w:p>
            <w:r>
              <w:t>Flow treatment</w:t>
            </w:r>
          </w:p>
        </w:tc>
      </w:tr>
      <w:tr>
        <w:tc>
          <w:tcPr>
            <w:tcW w:type="dxa" w:w="2592"/>
          </w:tcPr>
          <w:p>
            <w:r>
              <w:t>OD-08</w:t>
            </w:r>
          </w:p>
        </w:tc>
        <w:tc>
          <w:tcPr>
            <w:tcW w:type="dxa" w:w="2592"/>
          </w:tcPr>
          <w:p>
            <w:r>
              <w:t>Automatic cross-provider failover</w:t>
            </w:r>
          </w:p>
        </w:tc>
        <w:tc>
          <w:tcPr>
            <w:tcW w:type="dxa" w:w="2592"/>
          </w:tcPr>
          <w:p>
            <w:r>
              <w:t>OPEN / DEFERRED</w:t>
            </w:r>
          </w:p>
        </w:tc>
        <w:tc>
          <w:tcPr>
            <w:tcW w:type="dxa" w:w="2592"/>
          </w:tcPr>
          <w:p>
            <w:r>
              <w:t>Flow uses controlled/manual provider switch only; no automatic failover assumed.</w:t>
            </w:r>
          </w:p>
        </w:tc>
      </w:tr>
      <w:tr>
        <w:tc>
          <w:tcPr>
            <w:tcW w:type="dxa" w:w="2592"/>
          </w:tcPr>
          <w:p>
            <w:r>
              <w:t>Attendance policy</w:t>
            </w:r>
          </w:p>
        </w:tc>
        <w:tc>
          <w:tcPr>
            <w:tcW w:type="dxa" w:w="2592"/>
          </w:tcPr>
          <w:p>
            <w:r>
              <w:t>Exact formula, threshold, grace/late/early rules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Flow is policy-neutral.</w:t>
            </w:r>
          </w:p>
        </w:tc>
      </w:tr>
      <w:tr>
        <w:tc>
          <w:tcPr>
            <w:tcW w:type="dxa" w:w="2592"/>
          </w:tcPr>
          <w:p>
            <w:r>
              <w:t>Capacity</w:t>
            </w:r>
          </w:p>
        </w:tc>
        <w:tc>
          <w:tcPr>
            <w:tcW w:type="dxa" w:w="2592"/>
          </w:tcPr>
          <w:p>
            <w:r>
              <w:t>Canonical participant capacity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Flow does not promote M05 event quota.</w:t>
            </w:r>
          </w:p>
        </w:tc>
      </w:tr>
      <w:tr>
        <w:tc>
          <w:tcPr>
            <w:tcW w:type="dxa" w:w="2592"/>
          </w:tcPr>
          <w:p>
            <w:r>
              <w:t>Visibility</w:t>
            </w:r>
          </w:p>
        </w:tc>
        <w:tc>
          <w:tcPr>
            <w:tcW w:type="dxa" w:w="2592"/>
          </w:tcPr>
          <w:p>
            <w:r>
              <w:t>Final visibility taxonomy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Flow references semantic visibility only.</w:t>
            </w:r>
          </w:p>
        </w:tc>
      </w:tr>
      <w:tr>
        <w:tc>
          <w:tcPr>
            <w:tcW w:type="dxa" w:w="2592"/>
          </w:tcPr>
          <w:p>
            <w:r>
              <w:t>RBAC</w:t>
            </w:r>
          </w:p>
        </w:tc>
        <w:tc>
          <w:tcPr>
            <w:tcW w:type="dxa" w:w="2592"/>
          </w:tcPr>
          <w:p>
            <w:r>
              <w:t>Exact permission IDs + host authority</w:t>
            </w:r>
          </w:p>
        </w:tc>
        <w:tc>
          <w:tcPr>
            <w:tcW w:type="dxa" w:w="2592"/>
          </w:tcPr>
          <w:p>
            <w:r>
              <w:t>OPEN / DEPENDENCY</w:t>
            </w:r>
          </w:p>
        </w:tc>
        <w:tc>
          <w:tcPr>
            <w:tcW w:type="dxa" w:w="2592"/>
          </w:tcPr>
          <w:p>
            <w:r>
              <w:t>MADCR-053/054.</w:t>
            </w:r>
          </w:p>
        </w:tc>
      </w:tr>
      <w:tr>
        <w:tc>
          <w:tcPr>
            <w:tcW w:type="dxa" w:w="2592"/>
          </w:tcPr>
          <w:p>
            <w:r>
              <w:t>Recording</w:t>
            </w:r>
          </w:p>
        </w:tc>
        <w:tc>
          <w:tcPr>
            <w:tcW w:type="dxa" w:w="2592"/>
          </w:tcPr>
          <w:p>
            <w:r>
              <w:t>Retention/privacy/transcript/replay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Artifact flow remains reference-level.</w:t>
            </w:r>
          </w:p>
        </w:tc>
      </w:tr>
      <w:tr>
        <w:tc>
          <w:tcPr>
            <w:tcW w:type="dxa" w:w="2592"/>
          </w:tcPr>
          <w:p>
            <w:r>
              <w:t>MADCR-049</w:t>
            </w:r>
          </w:p>
        </w:tc>
        <w:tc>
          <w:tcPr>
            <w:tcW w:type="dxa" w:w="2592"/>
          </w:tcPr>
          <w:p>
            <w:r>
              <w:t>Learning Activity evidence model</w:t>
            </w:r>
          </w:p>
        </w:tc>
        <w:tc>
          <w:tcPr>
            <w:tcW w:type="dxa" w:w="2592"/>
          </w:tcPr>
          <w:p>
            <w:r>
              <w:t>OPEN / RE-EVALUATION</w:t>
            </w:r>
          </w:p>
        </w:tc>
        <w:tc>
          <w:tcPr>
            <w:tcW w:type="dxa" w:w="2592"/>
          </w:tcPr>
          <w:p>
            <w:r>
              <w:t>Completion handoff remains conditional.</w:t>
            </w:r>
          </w:p>
        </w:tc>
      </w:tr>
    </w:tbl>
    <w:p>
      <w:pPr>
        <w:pStyle w:val="Heading1"/>
      </w:pPr>
      <w:r>
        <w:t>17. Decision Assessment</w:t>
      </w:r>
    </w:p>
    <w:p>
      <w:r>
        <w:t>PASS. The user-flow impact is sufficiently defined without inventing unresolved policy, permission, provider, capacity, recording or governance values. No new user decision is required.</w:t>
      </w:r>
    </w:p>
    <w:p>
      <w:pPr>
        <w:pStyle w:val="Heading1"/>
      </w:pPr>
      <w:r>
        <w:t>18. Next Step</w:t>
      </w:r>
    </w:p>
    <w:p>
      <w:r>
        <w:t>STEP 12 — PRD / Product Requirement Impact. The next step will translate these semantic flows into PRD-level capability requirements, acceptance-oriented behavior, module impacts and cross-domain requirements while preserving the current PRD's Learning Center and Event Calendar responsibilities.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