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RUMAHAGEN — AEP #4 Learning Session</w:t>
        <w:br/>
        <w:t>STEP 12 — PRD / Product Requirement Impact</w:t>
      </w:r>
    </w:p>
    <w:p>
      <w:pPr>
        <w:jc w:val="center"/>
      </w:pPr>
      <w:r>
        <w:rPr>
          <w:i/>
        </w:rPr>
        <w:t>Version 1.0 | Product capability &amp; acceptance impact | UI/Release/Implementation NOT AUTHORIZED</w:t>
      </w:r>
    </w:p>
    <w:p>
      <w:pPr>
        <w:pStyle w:val="Heading1"/>
      </w:pPr>
      <w:r>
        <w:t>1. Source Basis &amp; Current PRD Delta</w:t>
      </w:r>
    </w:p>
    <w:p>
      <w:r>
        <w:t>Current PRD v1.2 defines M4 Learning Center as free self-enroll learning with course/quiz completion and certificate/badge, and live/webinar classes as entries in M5 Event Calendar. It also defines M5 RSVP and dashboard reminders/status attendance. fileciteturn15file5turn15file6</w:t>
      </w:r>
    </w:p>
    <w:p>
      <w:r>
        <w:t>AEP4 adds a distinct semantic Learning Session and Session Enrollment capability without repurposing M04 Course Enrollment or M05 EventRegistration. Existing M04/M05 boundaries are explicitly preserved by the AEP4 ERD reconciliation. fileciteturn15file4</w:t>
      </w:r>
    </w:p>
    <w:p>
      <w:r>
        <w:t>The prior AEP2 PRD impact established the correct discipline for this stage: define product capability and acceptance direction, but defer exact screen wording/layout, notification templates, release prioritization and exact permission IDs; Learning Session UI/UX was explicitly deferred to AEP4. fileciteturn14file3turn14file10</w:t>
      </w:r>
    </w:p>
    <w:p>
      <w:pPr>
        <w:pStyle w:val="Heading1"/>
      </w:pPr>
      <w:r>
        <w:t>2. Gate Result</w:t>
      </w:r>
    </w:p>
    <w:p>
      <w:r>
        <w:t>PASS — PRODUCT REQUIREMENT IMPACT DEFINED WITH CONTROLLED PRODUCT-DETAIL RESIDUALS.</w:t>
      </w:r>
    </w:p>
    <w:p>
      <w:r>
        <w:t>This is an impact specification, not a replacement of the current PRD. Global PRD rewrite remains deferred until the four-AEP sequence is complete and cross-AEP synchronization is authorized.</w:t>
      </w:r>
    </w:p>
    <w:p>
      <w:pPr>
        <w:pStyle w:val="Heading1"/>
      </w:pPr>
      <w:r>
        <w:t>3. Product Capability Requirements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ID</w:t>
            </w:r>
          </w:p>
        </w:tc>
        <w:tc>
          <w:tcPr>
            <w:tcW w:type="dxa" w:w="2074"/>
          </w:tcPr>
          <w:p>
            <w:r>
              <w:t>Capability</w:t>
            </w:r>
          </w:p>
        </w:tc>
        <w:tc>
          <w:tcPr>
            <w:tcW w:type="dxa" w:w="2074"/>
          </w:tcPr>
          <w:p>
            <w:r>
              <w:t>Requirement</w:t>
            </w:r>
          </w:p>
        </w:tc>
        <w:tc>
          <w:tcPr>
            <w:tcW w:type="dxa" w:w="2074"/>
          </w:tcPr>
          <w:p>
            <w:r>
              <w:t>Primary actor</w:t>
            </w:r>
          </w:p>
        </w:tc>
        <w:tc>
          <w:tcPr>
            <w:tcW w:type="dxa" w:w="2074"/>
          </w:tcPr>
          <w:p>
            <w:r>
              <w:t>Class</w:t>
            </w:r>
          </w:p>
        </w:tc>
      </w:tr>
      <w:tr>
        <w:tc>
          <w:tcPr>
            <w:tcW w:type="dxa" w:w="2074"/>
          </w:tcPr>
          <w:p>
            <w:r>
              <w:t>PRD-A4-01</w:t>
            </w:r>
          </w:p>
        </w:tc>
        <w:tc>
          <w:tcPr>
            <w:tcW w:type="dxa" w:w="2074"/>
          </w:tcPr>
          <w:p>
            <w:r>
              <w:t>Learning Session Discovery</w:t>
            </w:r>
          </w:p>
        </w:tc>
        <w:tc>
          <w:tcPr>
            <w:tcW w:type="dxa" w:w="2074"/>
          </w:tcPr>
          <w:p>
            <w:r>
              <w:t>Product shall expose eligible Learning Sessions within Learning context; calendar may surface sessions as discovery context.</w:t>
            </w:r>
          </w:p>
        </w:tc>
        <w:tc>
          <w:tcPr>
            <w:tcW w:type="dxa" w:w="2074"/>
          </w:tcPr>
          <w:p>
            <w:r>
              <w:t>Agent/Learner</w:t>
            </w:r>
          </w:p>
        </w:tc>
        <w:tc>
          <w:tcPr>
            <w:tcW w:type="dxa" w:w="2074"/>
          </w:tcPr>
          <w:p>
            <w:r>
              <w:t>NEW</w:t>
            </w:r>
          </w:p>
        </w:tc>
      </w:tr>
      <w:tr>
        <w:tc>
          <w:tcPr>
            <w:tcW w:type="dxa" w:w="2074"/>
          </w:tcPr>
          <w:p>
            <w:r>
              <w:t>PRD-A4-02</w:t>
            </w:r>
          </w:p>
        </w:tc>
        <w:tc>
          <w:tcPr>
            <w:tcW w:type="dxa" w:w="2074"/>
          </w:tcPr>
          <w:p>
            <w:r>
              <w:t>Session Type &amp; Lifecycle</w:t>
            </w:r>
          </w:p>
        </w:tc>
        <w:tc>
          <w:tcPr>
            <w:tcW w:type="dxa" w:w="2074"/>
          </w:tcPr>
          <w:p>
            <w:r>
              <w:t>Product shall represent BROADCAST, INTERACTIVE and ON_DEMAND and governed session lifecycle.</w:t>
            </w:r>
          </w:p>
        </w:tc>
        <w:tc>
          <w:tcPr>
            <w:tcW w:type="dxa" w:w="2074"/>
          </w:tcPr>
          <w:p>
            <w:r>
              <w:t>Learner + authorized Learning actors</w:t>
            </w:r>
          </w:p>
        </w:tc>
        <w:tc>
          <w:tcPr>
            <w:tcW w:type="dxa" w:w="2074"/>
          </w:tcPr>
          <w:p>
            <w:r>
              <w:t>NEW</w:t>
            </w:r>
          </w:p>
        </w:tc>
      </w:tr>
      <w:tr>
        <w:tc>
          <w:tcPr>
            <w:tcW w:type="dxa" w:w="2074"/>
          </w:tcPr>
          <w:p>
            <w:r>
              <w:t>PRD-A4-03</w:t>
            </w:r>
          </w:p>
        </w:tc>
        <w:tc>
          <w:tcPr>
            <w:tcW w:type="dxa" w:w="2074"/>
          </w:tcPr>
          <w:p>
            <w:r>
              <w:t>Session Enrollment</w:t>
            </w:r>
          </w:p>
        </w:tc>
        <w:tc>
          <w:tcPr>
            <w:tcW w:type="dxa" w:w="2074"/>
          </w:tcPr>
          <w:p>
            <w:r>
              <w:t>Product shall maintain Session Enrollment separately from Course Enrollment and Event Registration.</w:t>
            </w:r>
          </w:p>
        </w:tc>
        <w:tc>
          <w:tcPr>
            <w:tcW w:type="dxa" w:w="2074"/>
          </w:tcPr>
          <w:p>
            <w:r>
              <w:t>Agent/Learner/System</w:t>
            </w:r>
          </w:p>
        </w:tc>
        <w:tc>
          <w:tcPr>
            <w:tcW w:type="dxa" w:w="2074"/>
          </w:tcPr>
          <w:p>
            <w:r>
              <w:t>NEW</w:t>
            </w:r>
          </w:p>
        </w:tc>
      </w:tr>
      <w:tr>
        <w:tc>
          <w:tcPr>
            <w:tcW w:type="dxa" w:w="2074"/>
          </w:tcPr>
          <w:p>
            <w:r>
              <w:t>PRD-A4-04</w:t>
            </w:r>
          </w:p>
        </w:tc>
        <w:tc>
          <w:tcPr>
            <w:tcW w:type="dxa" w:w="2074"/>
          </w:tcPr>
          <w:p>
            <w:r>
              <w:t>Enrollment Activation</w:t>
            </w:r>
          </w:p>
        </w:tc>
        <w:tc>
          <w:tcPr>
            <w:tcW w:type="dxa" w:w="2074"/>
          </w:tcPr>
          <w:p>
            <w:r>
              <w:t>Product shall distinguish PENDING from ACTIVE; activation consumes applicable authorization/entitlement outcome and payment success alone is not ACTIVE.</w:t>
            </w:r>
          </w:p>
        </w:tc>
        <w:tc>
          <w:tcPr>
            <w:tcW w:type="dxa" w:w="2074"/>
          </w:tcPr>
          <w:p>
            <w:r>
              <w:t>Agent/System</w:t>
            </w:r>
          </w:p>
        </w:tc>
        <w:tc>
          <w:tcPr>
            <w:tcW w:type="dxa" w:w="2074"/>
          </w:tcPr>
          <w:p>
            <w:r>
              <w:t>NEW / INTEGRATE</w:t>
            </w:r>
          </w:p>
        </w:tc>
      </w:tr>
      <w:tr>
        <w:tc>
          <w:tcPr>
            <w:tcW w:type="dxa" w:w="2074"/>
          </w:tcPr>
          <w:p>
            <w:r>
              <w:t>PRD-A4-05</w:t>
            </w:r>
          </w:p>
        </w:tc>
        <w:tc>
          <w:tcPr>
            <w:tcW w:type="dxa" w:w="2074"/>
          </w:tcPr>
          <w:p>
            <w:r>
              <w:t>Session Access</w:t>
            </w:r>
          </w:p>
        </w:tc>
        <w:tc>
          <w:tcPr>
            <w:tcW w:type="dxa" w:w="2074"/>
          </w:tcPr>
          <w:p>
            <w:r>
              <w:t>Only an authorized ACTIVE enrollment may resolve provider session access.</w:t>
            </w:r>
          </w:p>
        </w:tc>
        <w:tc>
          <w:tcPr>
            <w:tcW w:type="dxa" w:w="2074"/>
          </w:tcPr>
          <w:p>
            <w:r>
              <w:t>Agent/System</w:t>
            </w:r>
          </w:p>
        </w:tc>
        <w:tc>
          <w:tcPr>
            <w:tcW w:type="dxa" w:w="2074"/>
          </w:tcPr>
          <w:p>
            <w:r>
              <w:t>NEW</w:t>
            </w:r>
          </w:p>
        </w:tc>
      </w:tr>
      <w:tr>
        <w:tc>
          <w:tcPr>
            <w:tcW w:type="dxa" w:w="2074"/>
          </w:tcPr>
          <w:p>
            <w:r>
              <w:t>PRD-A4-06</w:t>
            </w:r>
          </w:p>
        </w:tc>
        <w:tc>
          <w:tcPr>
            <w:tcW w:type="dxa" w:w="2074"/>
          </w:tcPr>
          <w:p>
            <w:r>
              <w:t>Provider Abstraction</w:t>
            </w:r>
          </w:p>
        </w:tc>
        <w:tc>
          <w:tcPr>
            <w:tcW w:type="dxa" w:w="2074"/>
          </w:tcPr>
          <w:p>
            <w:r>
              <w:t>Product shall use provider-neutral Session/Adapter boundaries; provider-specific identity remains infrastructure.</w:t>
            </w:r>
          </w:p>
        </w:tc>
        <w:tc>
          <w:tcPr>
            <w:tcW w:type="dxa" w:w="2074"/>
          </w:tcPr>
          <w:p>
            <w:r>
              <w:t>System</w:t>
            </w:r>
          </w:p>
        </w:tc>
        <w:tc>
          <w:tcPr>
            <w:tcW w:type="dxa" w:w="2074"/>
          </w:tcPr>
          <w:p>
            <w:r>
              <w:t>NEW / ARCHITECTURE</w:t>
            </w:r>
          </w:p>
        </w:tc>
      </w:tr>
      <w:tr>
        <w:tc>
          <w:tcPr>
            <w:tcW w:type="dxa" w:w="2074"/>
          </w:tcPr>
          <w:p>
            <w:r>
              <w:t>PRD-A4-07</w:t>
            </w:r>
          </w:p>
        </w:tc>
        <w:tc>
          <w:tcPr>
            <w:tcW w:type="dxa" w:w="2074"/>
          </w:tcPr>
          <w:p>
            <w:r>
              <w:t>Participation Evidence</w:t>
            </w:r>
          </w:p>
        </w:tc>
        <w:tc>
          <w:tcPr>
            <w:tcW w:type="dxa" w:w="2074"/>
          </w:tcPr>
          <w:p>
            <w:r>
              <w:t>Provider participation shall be captured as normalized/idempotent evidence with provenance.</w:t>
            </w:r>
          </w:p>
        </w:tc>
        <w:tc>
          <w:tcPr>
            <w:tcW w:type="dxa" w:w="2074"/>
          </w:tcPr>
          <w:p>
            <w:r>
              <w:t>System</w:t>
            </w:r>
          </w:p>
        </w:tc>
        <w:tc>
          <w:tcPr>
            <w:tcW w:type="dxa" w:w="2074"/>
          </w:tcPr>
          <w:p>
            <w:r>
              <w:t>NEW</w:t>
            </w:r>
          </w:p>
        </w:tc>
      </w:tr>
      <w:tr>
        <w:tc>
          <w:tcPr>
            <w:tcW w:type="dxa" w:w="2074"/>
          </w:tcPr>
          <w:p>
            <w:r>
              <w:t>PRD-A4-08</w:t>
            </w:r>
          </w:p>
        </w:tc>
        <w:tc>
          <w:tcPr>
            <w:tcW w:type="dxa" w:w="2074"/>
          </w:tcPr>
          <w:p>
            <w:r>
              <w:t>Attendance Outcome</w:t>
            </w:r>
          </w:p>
        </w:tc>
        <w:tc>
          <w:tcPr>
            <w:tcW w:type="dxa" w:w="2074"/>
          </w:tcPr>
          <w:p>
            <w:r>
              <w:t>Product shall evaluate attendance under configurable policy; raw provider events are not canonical attendance outcome.</w:t>
            </w:r>
          </w:p>
        </w:tc>
        <w:tc>
          <w:tcPr>
            <w:tcW w:type="dxa" w:w="2074"/>
          </w:tcPr>
          <w:p>
            <w:r>
              <w:t>System/authorized Learning actor</w:t>
            </w:r>
          </w:p>
        </w:tc>
        <w:tc>
          <w:tcPr>
            <w:tcW w:type="dxa" w:w="2074"/>
          </w:tcPr>
          <w:p>
            <w:r>
              <w:t>NEW</w:t>
            </w:r>
          </w:p>
        </w:tc>
      </w:tr>
      <w:tr>
        <w:tc>
          <w:tcPr>
            <w:tcW w:type="dxa" w:w="2074"/>
          </w:tcPr>
          <w:p>
            <w:r>
              <w:t>PRD-A4-09</w:t>
            </w:r>
          </w:p>
        </w:tc>
        <w:tc>
          <w:tcPr>
            <w:tcW w:type="dxa" w:w="2074"/>
          </w:tcPr>
          <w:p>
            <w:r>
              <w:t>Completion Outcome</w:t>
            </w:r>
          </w:p>
        </w:tc>
        <w:tc>
          <w:tcPr>
            <w:tcW w:type="dxa" w:w="2074"/>
          </w:tcPr>
          <w:p>
            <w:r>
              <w:t>Product shall evaluate governed completion from normalized evidence and applicable rules; provider cannot directly establish completion.</w:t>
            </w:r>
          </w:p>
        </w:tc>
        <w:tc>
          <w:tcPr>
            <w:tcW w:type="dxa" w:w="2074"/>
          </w:tcPr>
          <w:p>
            <w:r>
              <w:t>System/authorized Learning actor</w:t>
            </w:r>
          </w:p>
        </w:tc>
        <w:tc>
          <w:tcPr>
            <w:tcW w:type="dxa" w:w="2074"/>
          </w:tcPr>
          <w:p>
            <w:r>
              <w:t>NEW</w:t>
            </w:r>
          </w:p>
        </w:tc>
      </w:tr>
      <w:tr>
        <w:tc>
          <w:tcPr>
            <w:tcW w:type="dxa" w:w="2074"/>
          </w:tcPr>
          <w:p>
            <w:r>
              <w:t>PRD-A4-10</w:t>
            </w:r>
          </w:p>
        </w:tc>
        <w:tc>
          <w:tcPr>
            <w:tcW w:type="dxa" w:w="2074"/>
          </w:tcPr>
          <w:p>
            <w:r>
              <w:t>Learning Activity Handoff</w:t>
            </w:r>
          </w:p>
        </w:tc>
        <w:tc>
          <w:tcPr>
            <w:tcW w:type="dxa" w:w="2074"/>
          </w:tcPr>
          <w:p>
            <w:r>
              <w:t>Qualifying completion may feed Learning Activity; final evidence model remains subject to MADCR-049.</w:t>
            </w:r>
          </w:p>
        </w:tc>
        <w:tc>
          <w:tcPr>
            <w:tcW w:type="dxa" w:w="2074"/>
          </w:tcPr>
          <w:p>
            <w:r>
              <w:t>Learning/System</w:t>
            </w:r>
          </w:p>
        </w:tc>
        <w:tc>
          <w:tcPr>
            <w:tcW w:type="dxa" w:w="2074"/>
          </w:tcPr>
          <w:p>
            <w:r>
              <w:t>INTEGRATE / CONDITIONAL</w:t>
            </w:r>
          </w:p>
        </w:tc>
      </w:tr>
      <w:tr>
        <w:tc>
          <w:tcPr>
            <w:tcW w:type="dxa" w:w="2074"/>
          </w:tcPr>
          <w:p>
            <w:r>
              <w:t>PRD-A4-11</w:t>
            </w:r>
          </w:p>
        </w:tc>
        <w:tc>
          <w:tcPr>
            <w:tcW w:type="dxa" w:w="2074"/>
          </w:tcPr>
          <w:p>
            <w:r>
              <w:t>Learning Economy Boundary</w:t>
            </w:r>
          </w:p>
        </w:tc>
        <w:tc>
          <w:tcPr>
            <w:tcW w:type="dxa" w:w="2074"/>
          </w:tcPr>
          <w:p>
            <w:r>
              <w:t>Learning Session shall not directly create official LP transactions; qualifying learning outcomes feed Learning Economy authority.</w:t>
            </w:r>
          </w:p>
        </w:tc>
        <w:tc>
          <w:tcPr>
            <w:tcW w:type="dxa" w:w="2074"/>
          </w:tcPr>
          <w:p>
            <w:r>
              <w:t>Learning/System</w:t>
            </w:r>
          </w:p>
        </w:tc>
        <w:tc>
          <w:tcPr>
            <w:tcW w:type="dxa" w:w="2074"/>
          </w:tcPr>
          <w:p>
            <w:r>
              <w:t>INTEGRATE</w:t>
            </w:r>
          </w:p>
        </w:tc>
      </w:tr>
      <w:tr>
        <w:tc>
          <w:tcPr>
            <w:tcW w:type="dxa" w:w="2074"/>
          </w:tcPr>
          <w:p>
            <w:r>
              <w:t>PRD-A4-12</w:t>
            </w:r>
          </w:p>
        </w:tc>
        <w:tc>
          <w:tcPr>
            <w:tcW w:type="dxa" w:w="2074"/>
          </w:tcPr>
          <w:p>
            <w:r>
              <w:t>Assessment Boundary</w:t>
            </w:r>
          </w:p>
        </w:tc>
        <w:tc>
          <w:tcPr>
            <w:tcW w:type="dxa" w:w="2074"/>
          </w:tcPr>
          <w:p>
            <w:r>
              <w:t>Where assessment is required, session completion shall not bypass assessment.</w:t>
            </w:r>
          </w:p>
        </w:tc>
        <w:tc>
          <w:tcPr>
            <w:tcW w:type="dxa" w:w="2074"/>
          </w:tcPr>
          <w:p>
            <w:r>
              <w:t>Learner/System</w:t>
            </w:r>
          </w:p>
        </w:tc>
        <w:tc>
          <w:tcPr>
            <w:tcW w:type="dxa" w:w="2074"/>
          </w:tcPr>
          <w:p>
            <w:r>
              <w:t>INTEGRATE</w:t>
            </w:r>
          </w:p>
        </w:tc>
      </w:tr>
      <w:tr>
        <w:tc>
          <w:tcPr>
            <w:tcW w:type="dxa" w:w="2074"/>
          </w:tcPr>
          <w:p>
            <w:r>
              <w:t>PRD-A4-13</w:t>
            </w:r>
          </w:p>
        </w:tc>
        <w:tc>
          <w:tcPr>
            <w:tcW w:type="dxa" w:w="2074"/>
          </w:tcPr>
          <w:p>
            <w:r>
              <w:t>Recording / Artifact</w:t>
            </w:r>
          </w:p>
        </w:tc>
        <w:tc>
          <w:tcPr>
            <w:tcW w:type="dxa" w:w="2074"/>
          </w:tcPr>
          <w:p>
            <w:r>
              <w:t>Product may expose recording/artifact references separately from attendance/completion; retention/replay policy remains downstream.</w:t>
            </w:r>
          </w:p>
        </w:tc>
        <w:tc>
          <w:tcPr>
            <w:tcW w:type="dxa" w:w="2074"/>
          </w:tcPr>
          <w:p>
            <w:r>
              <w:t>Learner/System</w:t>
            </w:r>
          </w:p>
        </w:tc>
        <w:tc>
          <w:tcPr>
            <w:tcW w:type="dxa" w:w="2074"/>
          </w:tcPr>
          <w:p>
            <w:r>
              <w:t>NEW / OPEN</w:t>
            </w:r>
          </w:p>
        </w:tc>
      </w:tr>
      <w:tr>
        <w:tc>
          <w:tcPr>
            <w:tcW w:type="dxa" w:w="2074"/>
          </w:tcPr>
          <w:p>
            <w:r>
              <w:t>PRD-A4-14</w:t>
            </w:r>
          </w:p>
        </w:tc>
        <w:tc>
          <w:tcPr>
            <w:tcW w:type="dxa" w:w="2074"/>
          </w:tcPr>
          <w:p>
            <w:r>
              <w:t>Provider Switching</w:t>
            </w:r>
          </w:p>
        </w:tc>
        <w:tc>
          <w:tcPr>
            <w:tcW w:type="dxa" w:w="2074"/>
          </w:tcPr>
          <w:p>
            <w:r>
              <w:t>Authorized provider replacement shall preserve semantic session identity, enrollment, valid evidence and outcome history.</w:t>
            </w:r>
          </w:p>
        </w:tc>
        <w:tc>
          <w:tcPr>
            <w:tcW w:type="dxa" w:w="2074"/>
          </w:tcPr>
          <w:p>
            <w:r>
              <w:t>Authorized System/actor</w:t>
            </w:r>
          </w:p>
        </w:tc>
        <w:tc>
          <w:tcPr>
            <w:tcW w:type="dxa" w:w="2074"/>
          </w:tcPr>
          <w:p>
            <w:r>
              <w:t>NEW</w:t>
            </w:r>
          </w:p>
        </w:tc>
      </w:tr>
      <w:tr>
        <w:tc>
          <w:tcPr>
            <w:tcW w:type="dxa" w:w="2074"/>
          </w:tcPr>
          <w:p>
            <w:r>
              <w:t>PRD-A4-15</w:t>
            </w:r>
          </w:p>
        </w:tc>
        <w:tc>
          <w:tcPr>
            <w:tcW w:type="dxa" w:w="2074"/>
          </w:tcPr>
          <w:p>
            <w:r>
              <w:t>Failure / Recovery</w:t>
            </w:r>
          </w:p>
        </w:tc>
        <w:tc>
          <w:tcPr>
            <w:tcW w:type="dxa" w:w="2074"/>
          </w:tcPr>
          <w:p>
            <w:r>
              <w:t>Provider failure/retry/replay shall preserve history and use idempotent processing; automatic failover is not assumed.</w:t>
            </w:r>
          </w:p>
        </w:tc>
        <w:tc>
          <w:tcPr>
            <w:tcW w:type="dxa" w:w="2074"/>
          </w:tcPr>
          <w:p>
            <w:r>
              <w:t>System</w:t>
            </w:r>
          </w:p>
        </w:tc>
        <w:tc>
          <w:tcPr>
            <w:tcW w:type="dxa" w:w="2074"/>
          </w:tcPr>
          <w:p>
            <w:r>
              <w:t>NEW / OD-08</w:t>
            </w:r>
          </w:p>
        </w:tc>
      </w:tr>
      <w:tr>
        <w:tc>
          <w:tcPr>
            <w:tcW w:type="dxa" w:w="2074"/>
          </w:tcPr>
          <w:p>
            <w:r>
              <w:t>PRD-A4-16</w:t>
            </w:r>
          </w:p>
        </w:tc>
        <w:tc>
          <w:tcPr>
            <w:tcW w:type="dxa" w:w="2074"/>
          </w:tcPr>
          <w:p>
            <w:r>
              <w:t>AI Boundary</w:t>
            </w:r>
          </w:p>
        </w:tc>
        <w:tc>
          <w:tcPr>
            <w:tcW w:type="dxa" w:w="2074"/>
          </w:tcPr>
          <w:p>
            <w:r>
              <w:t>AI assistance may support learning/session experience but shall not become authority for attendance, completion, LP, competency, credential or Title/Award.</w:t>
            </w:r>
          </w:p>
        </w:tc>
        <w:tc>
          <w:tcPr>
            <w:tcW w:type="dxa" w:w="2074"/>
          </w:tcPr>
          <w:p>
            <w:r>
              <w:t>System/Learner</w:t>
            </w:r>
          </w:p>
        </w:tc>
        <w:tc>
          <w:tcPr>
            <w:tcW w:type="dxa" w:w="2074"/>
          </w:tcPr>
          <w:p>
            <w:r>
              <w:t>NEW</w:t>
            </w:r>
          </w:p>
        </w:tc>
      </w:tr>
      <w:tr>
        <w:tc>
          <w:tcPr>
            <w:tcW w:type="dxa" w:w="2074"/>
          </w:tcPr>
          <w:p>
            <w:r>
              <w:t>PRD-A4-17</w:t>
            </w:r>
          </w:p>
        </w:tc>
        <w:tc>
          <w:tcPr>
            <w:tcW w:type="dxa" w:w="2074"/>
          </w:tcPr>
          <w:p>
            <w:r>
              <w:t>Paid Session Access</w:t>
            </w:r>
          </w:p>
        </w:tc>
        <w:tc>
          <w:tcPr>
            <w:tcW w:type="dxa" w:w="2074"/>
          </w:tcPr>
          <w:p>
            <w:r>
              <w:t>Paid session access shall consume Commercial/Payment outcomes; Learning Session shall not duplicate pricing/payment/entitlement logic.</w:t>
            </w:r>
          </w:p>
        </w:tc>
        <w:tc>
          <w:tcPr>
            <w:tcW w:type="dxa" w:w="2074"/>
          </w:tcPr>
          <w:p>
            <w:r>
              <w:t>Agent/System</w:t>
            </w:r>
          </w:p>
        </w:tc>
        <w:tc>
          <w:tcPr>
            <w:tcW w:type="dxa" w:w="2074"/>
          </w:tcPr>
          <w:p>
            <w:r>
              <w:t>INTEGRATE</w:t>
            </w:r>
          </w:p>
        </w:tc>
      </w:tr>
      <w:tr>
        <w:tc>
          <w:tcPr>
            <w:tcW w:type="dxa" w:w="2074"/>
          </w:tcPr>
          <w:p>
            <w:r>
              <w:t>PRD-A4-18</w:t>
            </w:r>
          </w:p>
        </w:tc>
        <w:tc>
          <w:tcPr>
            <w:tcW w:type="dxa" w:w="2074"/>
          </w:tcPr>
          <w:p>
            <w:r>
              <w:t>Free-to-Learn Integrity</w:t>
            </w:r>
          </w:p>
        </w:tc>
        <w:tc>
          <w:tcPr>
            <w:tcW w:type="dxa" w:w="2074"/>
          </w:tcPr>
          <w:p>
            <w:r>
              <w:t>A paid live session shall not silently replace a required free-to-learn pathway where the Learning Path defines one.</w:t>
            </w:r>
          </w:p>
        </w:tc>
        <w:tc>
          <w:tcPr>
            <w:tcW w:type="dxa" w:w="2074"/>
          </w:tcPr>
          <w:p>
            <w:r>
              <w:t>Agent/System</w:t>
            </w:r>
          </w:p>
        </w:tc>
        <w:tc>
          <w:tcPr>
            <w:tcW w:type="dxa" w:w="2074"/>
          </w:tcPr>
          <w:p>
            <w:r>
              <w:t>INTEGRATE</w:t>
            </w:r>
          </w:p>
        </w:tc>
      </w:tr>
      <w:tr>
        <w:tc>
          <w:tcPr>
            <w:tcW w:type="dxa" w:w="2074"/>
          </w:tcPr>
          <w:p>
            <w:r>
              <w:t>PRD-A4-19</w:t>
            </w:r>
          </w:p>
        </w:tc>
        <w:tc>
          <w:tcPr>
            <w:tcW w:type="dxa" w:w="2074"/>
          </w:tcPr>
          <w:p>
            <w:r>
              <w:t>Audit / Provenance</w:t>
            </w:r>
          </w:p>
        </w:tc>
        <w:tc>
          <w:tcPr>
            <w:tcW w:type="dxa" w:w="2074"/>
          </w:tcPr>
          <w:p>
            <w:r>
              <w:t>Session, binding, evidence, attendance and completion actions shall retain auditable provenance; historical outcomes remain reconstructable.</w:t>
            </w:r>
          </w:p>
        </w:tc>
        <w:tc>
          <w:tcPr>
            <w:tcW w:type="dxa" w:w="2074"/>
          </w:tcPr>
          <w:p>
            <w:r>
              <w:t>System/Authorized Ops</w:t>
            </w:r>
          </w:p>
        </w:tc>
        <w:tc>
          <w:tcPr>
            <w:tcW w:type="dxa" w:w="2074"/>
          </w:tcPr>
          <w:p>
            <w:r>
              <w:t>NEW / EVOLVE</w:t>
            </w:r>
          </w:p>
        </w:tc>
      </w:tr>
      <w:tr>
        <w:tc>
          <w:tcPr>
            <w:tcW w:type="dxa" w:w="2074"/>
          </w:tcPr>
          <w:p>
            <w:r>
              <w:t>PRD-A4-20</w:t>
            </w:r>
          </w:p>
        </w:tc>
        <w:tc>
          <w:tcPr>
            <w:tcW w:type="dxa" w:w="2074"/>
          </w:tcPr>
          <w:p>
            <w:r>
              <w:t>Notifications / Dashboard</w:t>
            </w:r>
          </w:p>
        </w:tc>
        <w:tc>
          <w:tcPr>
            <w:tcW w:type="dxa" w:w="2074"/>
          </w:tcPr>
          <w:p>
            <w:r>
              <w:t>Dashboard/notifications may surface session schedule, reminders, status and learning outcomes while remaining aggregation surfaces.</w:t>
            </w:r>
          </w:p>
        </w:tc>
        <w:tc>
          <w:tcPr>
            <w:tcW w:type="dxa" w:w="2074"/>
          </w:tcPr>
          <w:p>
            <w:r>
              <w:t>Agent/Admin</w:t>
            </w:r>
          </w:p>
        </w:tc>
        <w:tc>
          <w:tcPr>
            <w:tcW w:type="dxa" w:w="2074"/>
          </w:tcPr>
          <w:p>
            <w:r>
              <w:t>EVOLVE</w:t>
            </w:r>
          </w:p>
        </w:tc>
      </w:tr>
    </w:tbl>
    <w:p>
      <w:pPr>
        <w:pStyle w:val="Heading1"/>
      </w:pPr>
      <w:r>
        <w:t>4. Acceptance-Criteria Direction</w:t>
      </w:r>
    </w:p>
    <w:tbl>
      <w:tblPr>
        <w:tblStyle w:val="TableGrid"/>
        <w:tblW w:type="auto" w:w="0"/>
        <w:tblLook w:firstColumn="1" w:firstRow="1" w:lastColumn="0" w:lastRow="0" w:noHBand="0" w:noVBand="1" w:val="04A0"/>
      </w:tblPr>
      <w:tblGrid>
        <w:gridCol w:w="5184"/>
        <w:gridCol w:w="5184"/>
      </w:tblGrid>
      <w:tr>
        <w:tc>
          <w:tcPr>
            <w:tcW w:type="dxa" w:w="5184"/>
          </w:tcPr>
          <w:p>
            <w:r>
              <w:t>ID</w:t>
            </w:r>
          </w:p>
        </w:tc>
        <w:tc>
          <w:tcPr>
            <w:tcW w:type="dxa" w:w="5184"/>
          </w:tcPr>
          <w:p>
            <w:r>
              <w:t>Acceptance behavior</w:t>
            </w:r>
          </w:p>
        </w:tc>
      </w:tr>
      <w:tr>
        <w:tc>
          <w:tcPr>
            <w:tcW w:type="dxa" w:w="5184"/>
          </w:tcPr>
          <w:p>
            <w:r>
              <w:t>AC-A4-01</w:t>
            </w:r>
          </w:p>
        </w:tc>
        <w:tc>
          <w:tcPr>
            <w:tcW w:type="dxa" w:w="5184"/>
          </w:tcPr>
          <w:p>
            <w:r>
              <w:t>Given an eligible session, when a learner opens Learning, then the learner can discover the session according to visibility/eligibility.</w:t>
            </w:r>
          </w:p>
        </w:tc>
      </w:tr>
      <w:tr>
        <w:tc>
          <w:tcPr>
            <w:tcW w:type="dxa" w:w="5184"/>
          </w:tcPr>
          <w:p>
            <w:r>
              <w:t>AC-A4-02</w:t>
            </w:r>
          </w:p>
        </w:tc>
        <w:tc>
          <w:tcPr>
            <w:tcW w:type="dxa" w:w="5184"/>
          </w:tcPr>
          <w:p>
            <w:r>
              <w:t>Given a new session enrollment request, when activation conditions are not met, then status remains non-active/PENDING and provider access is not granted.</w:t>
            </w:r>
          </w:p>
        </w:tc>
      </w:tr>
      <w:tr>
        <w:tc>
          <w:tcPr>
            <w:tcW w:type="dxa" w:w="5184"/>
          </w:tcPr>
          <w:p>
            <w:r>
              <w:t>AC-A4-03</w:t>
            </w:r>
          </w:p>
        </w:tc>
        <w:tc>
          <w:tcPr>
            <w:tcW w:type="dxa" w:w="5184"/>
          </w:tcPr>
          <w:p>
            <w:r>
              <w:t>Given applicable entitlement/authorization is satisfied, when activation occurs, then Session Enrollment becomes ACTIVE and access can be resolved.</w:t>
            </w:r>
          </w:p>
        </w:tc>
      </w:tr>
      <w:tr>
        <w:tc>
          <w:tcPr>
            <w:tcW w:type="dxa" w:w="5184"/>
          </w:tcPr>
          <w:p>
            <w:r>
              <w:t>AC-A4-04</w:t>
            </w:r>
          </w:p>
        </w:tc>
        <w:tc>
          <w:tcPr>
            <w:tcW w:type="dxa" w:w="5184"/>
          </w:tcPr>
          <w:p>
            <w:r>
              <w:t>Given an ACTIVE enrollment, when provider access is requested, then access is resolved through the provider abstraction rather than direct vendor semantics.</w:t>
            </w:r>
          </w:p>
        </w:tc>
      </w:tr>
      <w:tr>
        <w:tc>
          <w:tcPr>
            <w:tcW w:type="dxa" w:w="5184"/>
          </w:tcPr>
          <w:p>
            <w:r>
              <w:t>AC-A4-05</w:t>
            </w:r>
          </w:p>
        </w:tc>
        <w:tc>
          <w:tcPr>
            <w:tcW w:type="dxa" w:w="5184"/>
          </w:tcPr>
          <w:p>
            <w:r>
              <w:t>Given duplicate provider event delivery, when the same event is processed again, then no duplicate evidence or downstream outcome is created.</w:t>
            </w:r>
          </w:p>
        </w:tc>
      </w:tr>
      <w:tr>
        <w:tc>
          <w:tcPr>
            <w:tcW w:type="dxa" w:w="5184"/>
          </w:tcPr>
          <w:p>
            <w:r>
              <w:t>AC-A4-06</w:t>
            </w:r>
          </w:p>
        </w:tc>
        <w:tc>
          <w:tcPr>
            <w:tcW w:type="dxa" w:w="5184"/>
          </w:tcPr>
          <w:p>
            <w:r>
              <w:t>Given participant JOIN/LEAVE evidence, when attendance is evaluated, then the provider event is not itself treated as completion.</w:t>
            </w:r>
          </w:p>
        </w:tc>
      </w:tr>
      <w:tr>
        <w:tc>
          <w:tcPr>
            <w:tcW w:type="dxa" w:w="5184"/>
          </w:tcPr>
          <w:p>
            <w:r>
              <w:t>AC-A4-07</w:t>
            </w:r>
          </w:p>
        </w:tc>
        <w:tc>
          <w:tcPr>
            <w:tcW w:type="dxa" w:w="5184"/>
          </w:tcPr>
          <w:p>
            <w:r>
              <w:t>Given completion conditions are satisfied, when governed completion is recorded, then the outcome may feed Learning Activity but does not automatically create LP/credential/title.</w:t>
            </w:r>
          </w:p>
        </w:tc>
      </w:tr>
      <w:tr>
        <w:tc>
          <w:tcPr>
            <w:tcW w:type="dxa" w:w="5184"/>
          </w:tcPr>
          <w:p>
            <w:r>
              <w:t>AC-A4-08</w:t>
            </w:r>
          </w:p>
        </w:tc>
        <w:tc>
          <w:tcPr>
            <w:tcW w:type="dxa" w:w="5184"/>
          </w:tcPr>
          <w:p>
            <w:r>
              <w:t>Given a required assessment, when session attendance/completion is satisfied but assessment is not, then required assessment remains unmet.</w:t>
            </w:r>
          </w:p>
        </w:tc>
      </w:tr>
      <w:tr>
        <w:tc>
          <w:tcPr>
            <w:tcW w:type="dxa" w:w="5184"/>
          </w:tcPr>
          <w:p>
            <w:r>
              <w:t>AC-A4-09</w:t>
            </w:r>
          </w:p>
        </w:tc>
        <w:tc>
          <w:tcPr>
            <w:tcW w:type="dxa" w:w="5184"/>
          </w:tcPr>
          <w:p>
            <w:r>
              <w:t>Given provider failure, when recovery occurs, then historical session/evidence/enrollment continuity is preserved.</w:t>
            </w:r>
          </w:p>
        </w:tc>
      </w:tr>
      <w:tr>
        <w:tc>
          <w:tcPr>
            <w:tcW w:type="dxa" w:w="5184"/>
          </w:tcPr>
          <w:p>
            <w:r>
              <w:t>AC-A4-10</w:t>
            </w:r>
          </w:p>
        </w:tc>
        <w:tc>
          <w:tcPr>
            <w:tcW w:type="dxa" w:w="5184"/>
          </w:tcPr>
          <w:p>
            <w:r>
              <w:t>Given an authorized provider switch, when binding changes, then semantic Learning Session identity/history remain unchanged.</w:t>
            </w:r>
          </w:p>
        </w:tc>
      </w:tr>
      <w:tr>
        <w:tc>
          <w:tcPr>
            <w:tcW w:type="dxa" w:w="5184"/>
          </w:tcPr>
          <w:p>
            <w:r>
              <w:t>AC-A4-11</w:t>
            </w:r>
          </w:p>
        </w:tc>
        <w:tc>
          <w:tcPr>
            <w:tcW w:type="dxa" w:w="5184"/>
          </w:tcPr>
          <w:p>
            <w:r>
              <w:t>Given paid session access, when commercial outcome is confirmed, then Learning consumes that outcome without creating a second payment authority.</w:t>
            </w:r>
          </w:p>
        </w:tc>
      </w:tr>
      <w:tr>
        <w:tc>
          <w:tcPr>
            <w:tcW w:type="dxa" w:w="5184"/>
          </w:tcPr>
          <w:p>
            <w:r>
              <w:t>AC-A4-12</w:t>
            </w:r>
          </w:p>
        </w:tc>
        <w:tc>
          <w:tcPr>
            <w:tcW w:type="dxa" w:w="5184"/>
          </w:tcPr>
          <w:p>
            <w:r>
              <w:t>Given a free-to-learn required path, when a paid session exists, then the product does not silently use payment to bypass the required path.</w:t>
            </w:r>
          </w:p>
        </w:tc>
      </w:tr>
      <w:tr>
        <w:tc>
          <w:tcPr>
            <w:tcW w:type="dxa" w:w="5184"/>
          </w:tcPr>
          <w:p>
            <w:r>
              <w:t>AC-A4-13</w:t>
            </w:r>
          </w:p>
        </w:tc>
        <w:tc>
          <w:tcPr>
            <w:tcW w:type="dxa" w:w="5184"/>
          </w:tcPr>
          <w:p>
            <w:r>
              <w:t>Given AI assistance, when AI proposes attendance/completion/LP/credential/title decisions, then AI output cannot become authoritative without governed human/system rules.</w:t>
            </w:r>
          </w:p>
        </w:tc>
      </w:tr>
      <w:tr>
        <w:tc>
          <w:tcPr>
            <w:tcW w:type="dxa" w:w="5184"/>
          </w:tcPr>
          <w:p>
            <w:r>
              <w:t>AC-A4-14</w:t>
            </w:r>
          </w:p>
        </w:tc>
        <w:tc>
          <w:tcPr>
            <w:tcW w:type="dxa" w:w="5184"/>
          </w:tcPr>
          <w:p>
            <w:r>
              <w:t>Given recording availability, when artifact is exposed, then artifact remains separate from attendance/completion authority.</w:t>
            </w:r>
          </w:p>
        </w:tc>
      </w:tr>
    </w:tbl>
    <w:p>
      <w:pPr>
        <w:pStyle w:val="Heading1"/>
      </w:pPr>
      <w:r>
        <w:t>5. Cross-Domain Product Integration</w:t>
      </w:r>
    </w:p>
    <w:tbl>
      <w:tblPr>
        <w:tblStyle w:val="TableGrid"/>
        <w:tblW w:type="auto" w:w="0"/>
        <w:tblLook w:firstColumn="1" w:firstRow="1" w:lastColumn="0" w:lastRow="0" w:noHBand="0" w:noVBand="1" w:val="04A0"/>
      </w:tblPr>
      <w:tblGrid>
        <w:gridCol w:w="3456"/>
        <w:gridCol w:w="3456"/>
        <w:gridCol w:w="3456"/>
      </w:tblGrid>
      <w:tr>
        <w:tc>
          <w:tcPr>
            <w:tcW w:type="dxa" w:w="3456"/>
          </w:tcPr>
          <w:p>
            <w:r>
              <w:t>Domain</w:t>
            </w:r>
          </w:p>
        </w:tc>
        <w:tc>
          <w:tcPr>
            <w:tcW w:type="dxa" w:w="3456"/>
          </w:tcPr>
          <w:p>
            <w:r>
              <w:t>Product integration</w:t>
            </w:r>
          </w:p>
        </w:tc>
        <w:tc>
          <w:tcPr>
            <w:tcW w:type="dxa" w:w="3456"/>
          </w:tcPr>
          <w:p>
            <w:r>
              <w:t>Boundary</w:t>
            </w:r>
          </w:p>
        </w:tc>
      </w:tr>
      <w:tr>
        <w:tc>
          <w:tcPr>
            <w:tcW w:type="dxa" w:w="3456"/>
          </w:tcPr>
          <w:p>
            <w:r>
              <w:t>M04 Learning Center</w:t>
            </w:r>
          </w:p>
        </w:tc>
        <w:tc>
          <w:tcPr>
            <w:tcW w:type="dxa" w:w="3456"/>
          </w:tcPr>
          <w:p>
            <w:r>
              <w:t>Preserve course, lesson, assessment, certificate flow; add session capability.</w:t>
            </w:r>
          </w:p>
        </w:tc>
        <w:tc>
          <w:tcPr>
            <w:tcW w:type="dxa" w:w="3456"/>
          </w:tcPr>
          <w:p>
            <w:r>
              <w:t>Course Enrollment remains unchanged; Certificate remains M04.</w:t>
            </w:r>
          </w:p>
        </w:tc>
      </w:tr>
      <w:tr>
        <w:tc>
          <w:tcPr>
            <w:tcW w:type="dxa" w:w="3456"/>
          </w:tcPr>
          <w:p>
            <w:r>
              <w:t>M05 Event Calendar</w:t>
            </w:r>
          </w:p>
        </w:tc>
        <w:tc>
          <w:tcPr>
            <w:tcW w:type="dxa" w:w="3456"/>
          </w:tcPr>
          <w:p>
            <w:r>
              <w:t>Surface/schedule Learning Sessions.</w:t>
            </w:r>
          </w:p>
        </w:tc>
        <w:tc>
          <w:tcPr>
            <w:tcW w:type="dxa" w:w="3456"/>
          </w:tcPr>
          <w:p>
            <w:r>
              <w:t>Event/EventRegistration remain calendar semantics; exact Session↔Event cardinality open.</w:t>
            </w:r>
          </w:p>
        </w:tc>
      </w:tr>
      <w:tr>
        <w:tc>
          <w:tcPr>
            <w:tcW w:type="dxa" w:w="3456"/>
          </w:tcPr>
          <w:p>
            <w:r>
              <w:t>M08 Dashboard/Notifications</w:t>
            </w:r>
          </w:p>
        </w:tc>
        <w:tc>
          <w:tcPr>
            <w:tcW w:type="dxa" w:w="3456"/>
          </w:tcPr>
          <w:p>
            <w:r>
              <w:t>Surface session progress/reminders/status.</w:t>
            </w:r>
          </w:p>
        </w:tc>
        <w:tc>
          <w:tcPr>
            <w:tcW w:type="dxa" w:w="3456"/>
          </w:tcPr>
          <w:p>
            <w:r>
              <w:t>Aggregation only; no new authority.</w:t>
            </w:r>
          </w:p>
        </w:tc>
      </w:tr>
      <w:tr>
        <w:tc>
          <w:tcPr>
            <w:tcW w:type="dxa" w:w="3456"/>
          </w:tcPr>
          <w:p>
            <w:r>
              <w:t>M14 Commercial/Payment</w:t>
            </w:r>
          </w:p>
        </w:tc>
        <w:tc>
          <w:tcPr>
            <w:tcW w:type="dxa" w:w="3456"/>
          </w:tcPr>
          <w:p>
            <w:r>
              <w:t>Provide entitlement/payment outcome for paid access.</w:t>
            </w:r>
          </w:p>
        </w:tc>
        <w:tc>
          <w:tcPr>
            <w:tcW w:type="dxa" w:w="3456"/>
          </w:tcPr>
          <w:p>
            <w:r>
              <w:t>No payment logic duplicated in Learning.</w:t>
            </w:r>
          </w:p>
        </w:tc>
      </w:tr>
      <w:tr>
        <w:tc>
          <w:tcPr>
            <w:tcW w:type="dxa" w:w="3456"/>
          </w:tcPr>
          <w:p>
            <w:r>
              <w:t>Learning Economy</w:t>
            </w:r>
          </w:p>
        </w:tc>
        <w:tc>
          <w:tcPr>
            <w:tcW w:type="dxa" w:w="3456"/>
          </w:tcPr>
          <w:p>
            <w:r>
              <w:t>Consume qualifying learning outcome; own LP transaction.</w:t>
            </w:r>
          </w:p>
        </w:tc>
        <w:tc>
          <w:tcPr>
            <w:tcW w:type="dxa" w:w="3456"/>
          </w:tcPr>
          <w:p>
            <w:r>
              <w:t>Session cannot issue LP.</w:t>
            </w:r>
          </w:p>
        </w:tc>
      </w:tr>
      <w:tr>
        <w:tc>
          <w:tcPr>
            <w:tcW w:type="dxa" w:w="3456"/>
          </w:tcPr>
          <w:p>
            <w:r>
              <w:t>AEP3 Awarding</w:t>
            </w:r>
          </w:p>
        </w:tc>
        <w:tc>
          <w:tcPr>
            <w:tcW w:type="dxa" w:w="3456"/>
          </w:tcPr>
          <w:p>
            <w:r>
              <w:t>Consume qualifying evidence/outcome where Awarding Path permits.</w:t>
            </w:r>
          </w:p>
        </w:tc>
        <w:tc>
          <w:tcPr>
            <w:tcW w:type="dxa" w:w="3456"/>
          </w:tcPr>
          <w:p>
            <w:r>
              <w:t>Session completion is not Award Instance.</w:t>
            </w:r>
          </w:p>
        </w:tc>
      </w:tr>
      <w:tr>
        <w:tc>
          <w:tcPr>
            <w:tcW w:type="dxa" w:w="3456"/>
          </w:tcPr>
          <w:p>
            <w:r>
              <w:t>RBAC</w:t>
            </w:r>
          </w:p>
        </w:tc>
        <w:tc>
          <w:tcPr>
            <w:tcW w:type="dxa" w:w="3456"/>
          </w:tcPr>
          <w:p>
            <w:r>
              <w:t>Authorize session management/access/evidence operations.</w:t>
            </w:r>
          </w:p>
        </w:tc>
        <w:tc>
          <w:tcPr>
            <w:tcW w:type="dxa" w:w="3456"/>
          </w:tcPr>
          <w:p>
            <w:r>
              <w:t>Final permission IDs/host authority depend on MADCR-053/054.</w:t>
            </w:r>
          </w:p>
        </w:tc>
      </w:tr>
      <w:tr>
        <w:tc>
          <w:tcPr>
            <w:tcW w:type="dxa" w:w="3456"/>
          </w:tcPr>
          <w:p>
            <w:r>
              <w:t>Workspace/Organization</w:t>
            </w:r>
          </w:p>
        </w:tc>
        <w:tc>
          <w:tcPr>
            <w:tcW w:type="dxa" w:w="3456"/>
          </w:tcPr>
          <w:p>
            <w:r>
              <w:t>Context/authorization when applicable.</w:t>
            </w:r>
          </w:p>
        </w:tc>
        <w:tc>
          <w:tcPr>
            <w:tcW w:type="dxa" w:w="3456"/>
          </w:tcPr>
          <w:p>
            <w:r>
              <w:t>Exact cardinality/scope downstream.</w:t>
            </w:r>
          </w:p>
        </w:tc>
      </w:tr>
      <w:tr>
        <w:tc>
          <w:tcPr>
            <w:tcW w:type="dxa" w:w="3456"/>
          </w:tcPr>
          <w:p>
            <w:r>
              <w:t>Audit</w:t>
            </w:r>
          </w:p>
        </w:tc>
        <w:tc>
          <w:tcPr>
            <w:tcW w:type="dxa" w:w="3456"/>
          </w:tcPr>
          <w:p>
            <w:r>
              <w:t>Record provenance/history.</w:t>
            </w:r>
          </w:p>
        </w:tc>
        <w:tc>
          <w:tcPr>
            <w:tcW w:type="dxa" w:w="3456"/>
          </w:tcPr>
          <w:p>
            <w:r>
              <w:t>Reuse/evolve existing audit authority.</w:t>
            </w:r>
          </w:p>
        </w:tc>
      </w:tr>
    </w:tbl>
    <w:p>
      <w:pPr>
        <w:pStyle w:val="Heading1"/>
      </w:pPr>
      <w:r>
        <w:t>6. Product State &amp; Boundary Rules</w:t>
      </w:r>
    </w:p>
    <w:p>
      <w:pPr>
        <w:pStyle w:val="ListBullet"/>
      </w:pPr>
      <w:r>
        <w:t>Session lifecycle and Session Enrollment lifecycle are separate product states.</w:t>
      </w:r>
    </w:p>
    <w:p>
      <w:pPr>
        <w:pStyle w:val="ListBullet"/>
      </w:pPr>
      <w:r>
        <w:t>Payment success is an input to activation logic where applicable, not the definition of ACTIVE.</w:t>
      </w:r>
    </w:p>
    <w:p>
      <w:pPr>
        <w:pStyle w:val="ListBullet"/>
      </w:pPr>
      <w:r>
        <w:t>Course Enrollment remains the M04 course relationship; Session Enrollment is a new product relationship.</w:t>
      </w:r>
    </w:p>
    <w:p>
      <w:pPr>
        <w:pStyle w:val="ListBullet"/>
      </w:pPr>
      <w:r>
        <w:t>Event RSVP remains M05 Event Registration; Event Calendar is a discovery/presentation integration for sessions.</w:t>
      </w:r>
    </w:p>
    <w:p>
      <w:pPr>
        <w:pStyle w:val="ListBullet"/>
      </w:pPr>
      <w:r>
        <w:t>Provider external session ID is infrastructure reference; product identity is Learning Session.</w:t>
      </w:r>
    </w:p>
    <w:p>
      <w:pPr>
        <w:pStyle w:val="ListBullet"/>
      </w:pPr>
      <w:r>
        <w:t>Provider participation is evidence; RUMAHAGEN evaluates attendance and completion.</w:t>
      </w:r>
    </w:p>
    <w:p>
      <w:pPr>
        <w:pStyle w:val="ListBullet"/>
      </w:pPr>
      <w:r>
        <w:t>Completion does not automatically mean competency, credential, certificate or Title/Award.</w:t>
      </w:r>
    </w:p>
    <w:p>
      <w:pPr>
        <w:pStyle w:val="ListBullet"/>
      </w:pPr>
      <w:r>
        <w:t>Learning Session does not directly issue official Learning Points.</w:t>
      </w:r>
    </w:p>
    <w:p>
      <w:pPr>
        <w:pStyle w:val="ListBullet"/>
      </w:pPr>
      <w:r>
        <w:t>Paid access cannot silently bypass a required free-to-learn path.</w:t>
      </w:r>
    </w:p>
    <w:p>
      <w:pPr>
        <w:pStyle w:val="ListBullet"/>
      </w:pPr>
      <w:r>
        <w:t>AI output is assistive and never product authority for learning outcomes.</w:t>
      </w:r>
    </w:p>
    <w:p>
      <w:pPr>
        <w:pStyle w:val="ListBullet"/>
      </w:pPr>
      <w:r>
        <w:t>Historical outcomes must remain understandable after configuration/provider changes.</w:t>
      </w:r>
    </w:p>
    <w:p>
      <w:pPr>
        <w:pStyle w:val="Heading1"/>
      </w:pPr>
      <w:r>
        <w:t>7. Non-Functional Product Obligations</w:t>
      </w:r>
    </w:p>
    <w:p>
      <w:pPr>
        <w:pStyle w:val="ListBullet"/>
      </w:pPr>
      <w:r>
        <w:t>Auditability and provenance for session, provider binding, participation evidence, attendance and completion.</w:t>
      </w:r>
    </w:p>
    <w:p>
      <w:pPr>
        <w:pStyle w:val="ListBullet"/>
      </w:pPr>
      <w:r>
        <w:t>Idempotent processing of provider events and duplicate-sensitive enrollment/binding actions.</w:t>
      </w:r>
    </w:p>
    <w:p>
      <w:pPr>
        <w:pStyle w:val="ListBullet"/>
      </w:pPr>
      <w:r>
        <w:t>Clear state semantics to prevent confusion between enrollment, attendance, completion and competency.</w:t>
      </w:r>
    </w:p>
    <w:p>
      <w:pPr>
        <w:pStyle w:val="ListBullet"/>
      </w:pPr>
      <w:r>
        <w:t>Failure/recovery behavior must preserve historical continuity.</w:t>
      </w:r>
    </w:p>
    <w:p>
      <w:pPr>
        <w:pStyle w:val="ListBullet"/>
      </w:pPr>
      <w:r>
        <w:t>Provider switching must preserve semantic identity/history.</w:t>
      </w:r>
    </w:p>
    <w:p>
      <w:pPr>
        <w:pStyle w:val="ListBullet"/>
      </w:pPr>
      <w:r>
        <w:t>Security boundary must prevent provider secrets/tokens from becoming user-facing product data.</w:t>
      </w:r>
    </w:p>
    <w:p>
      <w:pPr>
        <w:pStyle w:val="ListBullet"/>
      </w:pPr>
      <w:r>
        <w:t>Role-appropriate access must be enforced through RBAC plus applicable ownership/scope controls.</w:t>
      </w:r>
    </w:p>
    <w:p>
      <w:pPr>
        <w:pStyle w:val="ListBullet"/>
      </w:pPr>
      <w:r>
        <w:t>Configuration history must not rewrite historical outcomes.</w:t>
      </w:r>
    </w:p>
    <w:p>
      <w:pPr>
        <w:pStyle w:val="Heading1"/>
      </w:pPr>
      <w:r>
        <w:t>8. Existing PRD Preservation / Controlled Delta</w:t>
      </w:r>
    </w:p>
    <w:p>
      <w:pPr>
        <w:pStyle w:val="ListBullet"/>
      </w:pPr>
      <w:r>
        <w:t>Preserve current M4 free self-enrollment, course/lesson/quiz and certificate behavior.</w:t>
      </w:r>
    </w:p>
    <w:p>
      <w:pPr>
        <w:pStyle w:val="ListBullet"/>
      </w:pPr>
      <w:r>
        <w:t>Preserve current M5 Event Calendar and RSVP semantics.</w:t>
      </w:r>
    </w:p>
    <w:p>
      <w:pPr>
        <w:pStyle w:val="ListBullet"/>
      </w:pPr>
      <w:r>
        <w:t>Preserve Dashboard/Notification aggregation behavior; extend it to session reminders/status where appropriate.</w:t>
      </w:r>
    </w:p>
    <w:p>
      <w:pPr>
        <w:pStyle w:val="ListBullet"/>
      </w:pPr>
      <w:r>
        <w:t>Do not rewrite the existing PRD roadmap merely because AEP4 introduces architecture capability.</w:t>
      </w:r>
    </w:p>
    <w:p>
      <w:pPr>
        <w:pStyle w:val="ListBullet"/>
      </w:pPr>
      <w:r>
        <w:t>Do not convert the old statement 'live/webinar → Event Calendar' into 'Event owns Learning Session'; AEP4 changes the semantic authority while retaining calendar integration.</w:t>
      </w:r>
    </w:p>
    <w:p>
      <w:pPr>
        <w:pStyle w:val="Heading1"/>
      </w:pPr>
      <w:r>
        <w:t>9. Explicitly Deferred / Open Product Details</w:t>
      </w:r>
    </w:p>
    <w:tbl>
      <w:tblPr>
        <w:tblStyle w:val="TableGrid"/>
        <w:tblW w:type="auto" w:w="0"/>
        <w:tblLook w:firstColumn="1" w:firstRow="1" w:lastColumn="0" w:lastRow="0" w:noHBand="0" w:noVBand="1" w:val="04A0"/>
      </w:tblPr>
      <w:tblGrid>
        <w:gridCol w:w="3456"/>
        <w:gridCol w:w="3456"/>
        <w:gridCol w:w="3456"/>
      </w:tblGrid>
      <w:tr>
        <w:tc>
          <w:tcPr>
            <w:tcW w:type="dxa" w:w="3456"/>
          </w:tcPr>
          <w:p>
            <w:r>
              <w:t>Item</w:t>
            </w:r>
          </w:p>
        </w:tc>
        <w:tc>
          <w:tcPr>
            <w:tcW w:type="dxa" w:w="3456"/>
          </w:tcPr>
          <w:p>
            <w:r>
              <w:t>Status</w:t>
            </w:r>
          </w:p>
        </w:tc>
        <w:tc>
          <w:tcPr>
            <w:tcW w:type="dxa" w:w="3456"/>
          </w:tcPr>
          <w:p>
            <w:r>
              <w:t>Rule</w:t>
            </w:r>
          </w:p>
        </w:tc>
      </w:tr>
      <w:tr>
        <w:tc>
          <w:tcPr>
            <w:tcW w:type="dxa" w:w="3456"/>
          </w:tcPr>
          <w:p>
            <w:r>
              <w:t>Exact screen/UI/copy</w:t>
            </w:r>
          </w:p>
        </w:tc>
        <w:tc>
          <w:tcPr>
            <w:tcW w:type="dxa" w:w="3456"/>
          </w:tcPr>
          <w:p>
            <w:r>
              <w:t>Deferred</w:t>
            </w:r>
          </w:p>
        </w:tc>
        <w:tc>
          <w:tcPr>
            <w:tcW w:type="dxa" w:w="3456"/>
          </w:tcPr>
          <w:p>
            <w:r>
              <w:t>Keep PRD capability-level; no screen contract.</w:t>
            </w:r>
          </w:p>
        </w:tc>
      </w:tr>
      <w:tr>
        <w:tc>
          <w:tcPr>
            <w:tcW w:type="dxa" w:w="3456"/>
          </w:tcPr>
          <w:p>
            <w:r>
              <w:t>Exact attendance formula</w:t>
            </w:r>
          </w:p>
        </w:tc>
        <w:tc>
          <w:tcPr>
            <w:tcW w:type="dxa" w:w="3456"/>
          </w:tcPr>
          <w:p>
            <w:r>
              <w:t>Open</w:t>
            </w:r>
          </w:p>
        </w:tc>
        <w:tc>
          <w:tcPr>
            <w:tcW w:type="dxa" w:w="3456"/>
          </w:tcPr>
          <w:p>
            <w:r>
              <w:t>Configurable policy; no hardcoded value.</w:t>
            </w:r>
          </w:p>
        </w:tc>
      </w:tr>
      <w:tr>
        <w:tc>
          <w:tcPr>
            <w:tcW w:type="dxa" w:w="3456"/>
          </w:tcPr>
          <w:p>
            <w:r>
              <w:t>Capacity</w:t>
            </w:r>
          </w:p>
        </w:tc>
        <w:tc>
          <w:tcPr>
            <w:tcW w:type="dxa" w:w="3456"/>
          </w:tcPr>
          <w:p>
            <w:r>
              <w:t>Open</w:t>
            </w:r>
          </w:p>
        </w:tc>
        <w:tc>
          <w:tcPr>
            <w:tcW w:type="dxa" w:w="3456"/>
          </w:tcPr>
          <w:p>
            <w:r>
              <w:t>Do not use M05 event quota as canonical session capacity.</w:t>
            </w:r>
          </w:p>
        </w:tc>
      </w:tr>
      <w:tr>
        <w:tc>
          <w:tcPr>
            <w:tcW w:type="dxa" w:w="3456"/>
          </w:tcPr>
          <w:p>
            <w:r>
              <w:t>Visibility taxonomy</w:t>
            </w:r>
          </w:p>
        </w:tc>
        <w:tc>
          <w:tcPr>
            <w:tcW w:type="dxa" w:w="3456"/>
          </w:tcPr>
          <w:p>
            <w:r>
              <w:t>Open</w:t>
            </w:r>
          </w:p>
        </w:tc>
        <w:tc>
          <w:tcPr>
            <w:tcW w:type="dxa" w:w="3456"/>
          </w:tcPr>
          <w:p>
            <w:r>
              <w:t>Semantic scope only.</w:t>
            </w:r>
          </w:p>
        </w:tc>
      </w:tr>
      <w:tr>
        <w:tc>
          <w:tcPr>
            <w:tcW w:type="dxa" w:w="3456"/>
          </w:tcPr>
          <w:p>
            <w:r>
              <w:t>RBAC permission IDs / host authority</w:t>
            </w:r>
          </w:p>
        </w:tc>
        <w:tc>
          <w:tcPr>
            <w:tcW w:type="dxa" w:w="3456"/>
          </w:tcPr>
          <w:p>
            <w:r>
              <w:t>Open / dependency</w:t>
            </w:r>
          </w:p>
        </w:tc>
        <w:tc>
          <w:tcPr>
            <w:tcW w:type="dxa" w:w="3456"/>
          </w:tcPr>
          <w:p>
            <w:r>
              <w:t>MADCR-053/054.</w:t>
            </w:r>
          </w:p>
        </w:tc>
      </w:tr>
      <w:tr>
        <w:tc>
          <w:tcPr>
            <w:tcW w:type="dxa" w:w="3456"/>
          </w:tcPr>
          <w:p>
            <w:r>
              <w:t>Recording retention/privacy/replay</w:t>
            </w:r>
          </w:p>
        </w:tc>
        <w:tc>
          <w:tcPr>
            <w:tcW w:type="dxa" w:w="3456"/>
          </w:tcPr>
          <w:p>
            <w:r>
              <w:t>Open</w:t>
            </w:r>
          </w:p>
        </w:tc>
        <w:tc>
          <w:tcPr>
            <w:tcW w:type="dxa" w:w="3456"/>
          </w:tcPr>
          <w:p>
            <w:r>
              <w:t>Artifact requirement only.</w:t>
            </w:r>
          </w:p>
        </w:tc>
      </w:tr>
      <w:tr>
        <w:tc>
          <w:tcPr>
            <w:tcW w:type="dxa" w:w="3456"/>
          </w:tcPr>
          <w:p>
            <w:r>
              <w:t>Provider-specific implementation</w:t>
            </w:r>
          </w:p>
        </w:tc>
        <w:tc>
          <w:tcPr>
            <w:tcW w:type="dxa" w:w="3456"/>
          </w:tcPr>
          <w:p>
            <w:r>
              <w:t>Open</w:t>
            </w:r>
          </w:p>
        </w:tc>
        <w:tc>
          <w:tcPr>
            <w:tcW w:type="dxa" w:w="3456"/>
          </w:tcPr>
          <w:p>
            <w:r>
              <w:t>Adapter contract; vendor payloads downstream.</w:t>
            </w:r>
          </w:p>
        </w:tc>
      </w:tr>
      <w:tr>
        <w:tc>
          <w:tcPr>
            <w:tcW w:type="dxa" w:w="3456"/>
          </w:tcPr>
          <w:p>
            <w:r>
              <w:t>MADCR-049</w:t>
            </w:r>
          </w:p>
        </w:tc>
        <w:tc>
          <w:tcPr>
            <w:tcW w:type="dxa" w:w="3456"/>
          </w:tcPr>
          <w:p>
            <w:r>
              <w:t>Open / re-evaluation</w:t>
            </w:r>
          </w:p>
        </w:tc>
        <w:tc>
          <w:tcPr>
            <w:tcW w:type="dxa" w:w="3456"/>
          </w:tcPr>
          <w:p>
            <w:r>
              <w:t>Learning Activity evidence dependent behavior remains conditional.</w:t>
            </w:r>
          </w:p>
        </w:tc>
      </w:tr>
      <w:tr>
        <w:tc>
          <w:tcPr>
            <w:tcW w:type="dxa" w:w="3456"/>
          </w:tcPr>
          <w:p>
            <w:r>
              <w:t>Release prioritization</w:t>
            </w:r>
          </w:p>
        </w:tc>
        <w:tc>
          <w:tcPr>
            <w:tcW w:type="dxa" w:w="3456"/>
          </w:tcPr>
          <w:p>
            <w:r>
              <w:t>Deferred</w:t>
            </w:r>
          </w:p>
        </w:tc>
        <w:tc>
          <w:tcPr>
            <w:tcW w:type="dxa" w:w="3456"/>
          </w:tcPr>
          <w:p>
            <w:r>
              <w:t>Do not silently alter current roadmap.</w:t>
            </w:r>
          </w:p>
        </w:tc>
      </w:tr>
    </w:tbl>
    <w:p>
      <w:pPr>
        <w:pStyle w:val="Heading1"/>
      </w:pPr>
      <w:r>
        <w:t>10. Traceability Direction</w:t>
      </w:r>
    </w:p>
    <w:p>
      <w:r>
        <w:t>AEP4 PRD impact traces as follows:</w:t>
      </w:r>
    </w:p>
    <w:p>
      <w:r>
        <w:t>AEP4 OD / Learning Session BR → Product Capability → Acceptance Behavior → API/RBAC/ERD impact → implementation/test downstream.</w:t>
      </w:r>
    </w:p>
    <w:p>
      <w:r>
        <w:t>No AEP4 PRD statement may override approved Commercial/Payment, Learning Economy or Title/Awarding authority boundaries. The AEP2 PRD discipline requires Learning Activity behavior to remain conditional on MADCR-049 where the final evidence model is not closed. fileciteturn14file3</w:t>
      </w:r>
    </w:p>
    <w:p>
      <w:pPr>
        <w:pStyle w:val="Heading1"/>
      </w:pPr>
      <w:r>
        <w:t>11. Decision Assessment</w:t>
      </w:r>
    </w:p>
    <w:p>
      <w:r>
        <w:t>PASS. No new user Open Decision is required. The product requirement delta is sufficiently defined at capability and acceptance direction level. Exact UI, release priority, permission IDs, attendance formula, capacity, recording policy, provider payloads and MADCR-049-dependent details remain downstream.</w:t>
      </w:r>
    </w:p>
    <w:p>
      <w:pPr>
        <w:pStyle w:val="Heading1"/>
      </w:pPr>
      <w:r>
        <w:t>12. Next Step</w:t>
      </w:r>
    </w:p>
    <w:p>
      <w:r>
        <w:t>STEP 13 — Engineering Guidebook / Development Playbook Impact. Translate the product requirements into engineering guardrails: service/module boundaries, state-machine enforcement, provider adapter implementation rules, event ingestion/idempotency, audit/provenance, authorization enforcement, test obligations and prohibited implementation shortcuts. No coding or physical schema migration is authorized by this step.</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