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13 — Engineering Guidebook / Development Playbook Impact</w:t>
      </w:r>
    </w:p>
    <w:p>
      <w:pPr>
        <w:jc w:val="center"/>
      </w:pPr>
      <w:r>
        <w:rPr>
          <w:i/>
        </w:rPr>
        <w:t>Version 1.0 | Engineering guardrails | Coding / migration NOT AUTHORIZED</w:t>
      </w:r>
    </w:p>
    <w:p>
      <w:pPr>
        <w:pStyle w:val="Heading1"/>
      </w:pPr>
      <w:r>
        <w:t>1. Purpose &amp; Source Basis</w:t>
      </w:r>
    </w:p>
    <w:p>
      <w:r>
        <w:t>This step is the engineering/playbook impact stage defined by the AEP synchronization order. The current AEP4 architecture places Learning Session inside Learning, with Session Orchestrator and Provider Adapter boundaries; provider-specific implementation remains downstream. fileciteturn15file0turn15file3</w:t>
      </w:r>
    </w:p>
    <w:p>
      <w:r>
        <w:t>The Provider Adapter contract requires provider-neutral operations and a processing sequence of validation/integrity → normalization → idempotency → correlation → evidence/state/artifact handling. fileciteturn15file4turn15file5</w:t>
      </w:r>
    </w:p>
    <w:p>
      <w:r>
        <w:t>The project Development Blueprint requires AI coding assistants to read the current project context before implementation and to run tests plus documentation checks before commit/CI. The current project governance also separates engineering/playbook impact from later global technical synchronization. fileciteturn15file16turn15file19turn15file14</w:t>
      </w:r>
    </w:p>
    <w:p>
      <w:pPr>
        <w:pStyle w:val="Heading1"/>
      </w:pPr>
      <w:r>
        <w:t>2. Gate Result</w:t>
      </w:r>
    </w:p>
    <w:p>
      <w:r>
        <w:t>PASS — ENGINEERING GUARDRAILS DEFINED.</w:t>
      </w:r>
    </w:p>
    <w:p>
      <w:r>
        <w:t>This artifact translates AEP4 product/architecture constraints into implementation rules. It does not authorize coding, migrations, final provider selection, final RBAC IDs, final API payloads, or global baseline synchronization.</w:t>
      </w:r>
    </w:p>
    <w:p>
      <w:pPr>
        <w:pStyle w:val="Heading1"/>
      </w:pPr>
      <w:r>
        <w:t>3. Engineering Guardrail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ID</w:t>
            </w:r>
          </w:p>
        </w:tc>
        <w:tc>
          <w:tcPr>
            <w:tcW w:type="dxa" w:w="2592"/>
          </w:tcPr>
          <w:p>
            <w:r>
              <w:t>Guardrail</w:t>
            </w:r>
          </w:p>
        </w:tc>
        <w:tc>
          <w:tcPr>
            <w:tcW w:type="dxa" w:w="2592"/>
          </w:tcPr>
          <w:p>
            <w:r>
              <w:t>Rule</w:t>
            </w:r>
          </w:p>
        </w:tc>
        <w:tc>
          <w:tcPr>
            <w:tcW w:type="dxa" w:w="2592"/>
          </w:tcPr>
          <w:p>
            <w:r>
              <w:t>Class</w:t>
            </w:r>
          </w:p>
        </w:tc>
      </w:tr>
      <w:tr>
        <w:tc>
          <w:tcPr>
            <w:tcW w:type="dxa" w:w="2592"/>
          </w:tcPr>
          <w:p>
            <w:r>
              <w:t>ENG-A4-01</w:t>
            </w:r>
          </w:p>
        </w:tc>
        <w:tc>
          <w:tcPr>
            <w:tcW w:type="dxa" w:w="2592"/>
          </w:tcPr>
          <w:p>
            <w:r>
              <w:t>Learning Session ownership</w:t>
            </w:r>
          </w:p>
        </w:tc>
        <w:tc>
          <w:tcPr>
            <w:tcW w:type="dxa" w:w="2592"/>
          </w:tcPr>
          <w:p>
            <w:r>
              <w:t>Implement Learning Session as capability inside Learning; do not create a second top-level Session domain.</w:t>
            </w:r>
          </w:p>
        </w:tc>
        <w:tc>
          <w:tcPr>
            <w:tcW w:type="dxa" w:w="2592"/>
          </w:tcPr>
          <w:p>
            <w:r>
              <w:t>Architecture boundary</w:t>
            </w:r>
          </w:p>
        </w:tc>
      </w:tr>
      <w:tr>
        <w:tc>
          <w:tcPr>
            <w:tcW w:type="dxa" w:w="2592"/>
          </w:tcPr>
          <w:p>
            <w:r>
              <w:t>ENG-A4-02</w:t>
            </w:r>
          </w:p>
        </w:tc>
        <w:tc>
          <w:tcPr>
            <w:tcW w:type="dxa" w:w="2592"/>
          </w:tcPr>
          <w:p>
            <w:r>
              <w:t>Semantic identity</w:t>
            </w:r>
          </w:p>
        </w:tc>
        <w:tc>
          <w:tcPr>
            <w:tcW w:type="dxa" w:w="2592"/>
          </w:tcPr>
          <w:p>
            <w:r>
              <w:t>Use provider-independent Learning Session identity; provider external IDs remain infrastructure references.</w:t>
            </w:r>
          </w:p>
        </w:tc>
        <w:tc>
          <w:tcPr>
            <w:tcW w:type="dxa" w:w="2592"/>
          </w:tcPr>
          <w:p>
            <w:r>
              <w:t>Data integrity</w:t>
            </w:r>
          </w:p>
        </w:tc>
      </w:tr>
      <w:tr>
        <w:tc>
          <w:tcPr>
            <w:tcW w:type="dxa" w:w="2592"/>
          </w:tcPr>
          <w:p>
            <w:r>
              <w:t>ENG-A4-03</w:t>
            </w:r>
          </w:p>
        </w:tc>
        <w:tc>
          <w:tcPr>
            <w:tcW w:type="dxa" w:w="2592"/>
          </w:tcPr>
          <w:p>
            <w:r>
              <w:t>Separate lifecycles</w:t>
            </w:r>
          </w:p>
        </w:tc>
        <w:tc>
          <w:tcPr>
            <w:tcW w:type="dxa" w:w="2592"/>
          </w:tcPr>
          <w:p>
            <w:r>
              <w:t>Enforce Session lifecycle separately from Session Enrollment lifecycle.</w:t>
            </w:r>
          </w:p>
        </w:tc>
        <w:tc>
          <w:tcPr>
            <w:tcW w:type="dxa" w:w="2592"/>
          </w:tcPr>
          <w:p>
            <w:r>
              <w:t>State machine</w:t>
            </w:r>
          </w:p>
        </w:tc>
      </w:tr>
      <w:tr>
        <w:tc>
          <w:tcPr>
            <w:tcW w:type="dxa" w:w="2592"/>
          </w:tcPr>
          <w:p>
            <w:r>
              <w:t>ENG-A4-04</w:t>
            </w:r>
          </w:p>
        </w:tc>
        <w:tc>
          <w:tcPr>
            <w:tcW w:type="dxa" w:w="2592"/>
          </w:tcPr>
          <w:p>
            <w:r>
              <w:t>State transitions</w:t>
            </w:r>
          </w:p>
        </w:tc>
        <w:tc>
          <w:tcPr>
            <w:tcW w:type="dxa" w:w="2592"/>
          </w:tcPr>
          <w:p>
            <w:r>
              <w:t>Lifecycle changes must occur through governed transition operations, not arbitrary client status writes.</w:t>
            </w:r>
          </w:p>
        </w:tc>
        <w:tc>
          <w:tcPr>
            <w:tcW w:type="dxa" w:w="2592"/>
          </w:tcPr>
          <w:p>
            <w:r>
              <w:t>State machine</w:t>
            </w:r>
          </w:p>
        </w:tc>
      </w:tr>
      <w:tr>
        <w:tc>
          <w:tcPr>
            <w:tcW w:type="dxa" w:w="2592"/>
          </w:tcPr>
          <w:p>
            <w:r>
              <w:t>ENG-A4-05</w:t>
            </w:r>
          </w:p>
        </w:tc>
        <w:tc>
          <w:tcPr>
            <w:tcW w:type="dxa" w:w="2592"/>
          </w:tcPr>
          <w:p>
            <w:r>
              <w:t>Provider Adapter</w:t>
            </w:r>
          </w:p>
        </w:tc>
        <w:tc>
          <w:tcPr>
            <w:tcW w:type="dxa" w:w="2592"/>
          </w:tcPr>
          <w:p>
            <w:r>
              <w:t>All provider-specific API/event logic stays behind Provider Adapter; core Learning code consumes normalized semantics.</w:t>
            </w:r>
          </w:p>
        </w:tc>
        <w:tc>
          <w:tcPr>
            <w:tcW w:type="dxa" w:w="2592"/>
          </w:tcPr>
          <w:p>
            <w:r>
              <w:t>Integration</w:t>
            </w:r>
          </w:p>
        </w:tc>
      </w:tr>
      <w:tr>
        <w:tc>
          <w:tcPr>
            <w:tcW w:type="dxa" w:w="2592"/>
          </w:tcPr>
          <w:p>
            <w:r>
              <w:t>ENG-A4-06</w:t>
            </w:r>
          </w:p>
        </w:tc>
        <w:tc>
          <w:tcPr>
            <w:tcW w:type="dxa" w:w="2592"/>
          </w:tcPr>
          <w:p>
            <w:r>
              <w:t>Provider neutrality</w:t>
            </w:r>
          </w:p>
        </w:tc>
        <w:tc>
          <w:tcPr>
            <w:tcW w:type="dxa" w:w="2592"/>
          </w:tcPr>
          <w:p>
            <w:r>
              <w:t>Do not leak vendor-specific fields, credentials or SDK models into core Learning Session contracts.</w:t>
            </w:r>
          </w:p>
        </w:tc>
        <w:tc>
          <w:tcPr>
            <w:tcW w:type="dxa" w:w="2592"/>
          </w:tcPr>
          <w:p>
            <w:r>
              <w:t>Architecture</w:t>
            </w:r>
          </w:p>
        </w:tc>
      </w:tr>
      <w:tr>
        <w:tc>
          <w:tcPr>
            <w:tcW w:type="dxa" w:w="2592"/>
          </w:tcPr>
          <w:p>
            <w:r>
              <w:t>ENG-A4-07</w:t>
            </w:r>
          </w:p>
        </w:tc>
        <w:tc>
          <w:tcPr>
            <w:tcW w:type="dxa" w:w="2592"/>
          </w:tcPr>
          <w:p>
            <w:r>
              <w:t>Provider events</w:t>
            </w:r>
          </w:p>
        </w:tc>
        <w:tc>
          <w:tcPr>
            <w:tcW w:type="dxa" w:w="2592"/>
          </w:tcPr>
          <w:p>
            <w:r>
              <w:t>Validate/authenticate/integrity-check, correlate, normalize, idempotently process and audit inbound provider events.</w:t>
            </w:r>
          </w:p>
        </w:tc>
        <w:tc>
          <w:tcPr>
            <w:tcW w:type="dxa" w:w="2592"/>
          </w:tcPr>
          <w:p>
            <w:r>
              <w:t>Integration</w:t>
            </w:r>
          </w:p>
        </w:tc>
      </w:tr>
      <w:tr>
        <w:tc>
          <w:tcPr>
            <w:tcW w:type="dxa" w:w="2592"/>
          </w:tcPr>
          <w:p>
            <w:r>
              <w:t>ENG-A4-08</w:t>
            </w:r>
          </w:p>
        </w:tc>
        <w:tc>
          <w:tcPr>
            <w:tcW w:type="dxa" w:w="2592"/>
          </w:tcPr>
          <w:p>
            <w:r>
              <w:t>Idempotency</w:t>
            </w:r>
          </w:p>
        </w:tc>
        <w:tc>
          <w:tcPr>
            <w:tcW w:type="dxa" w:w="2592"/>
          </w:tcPr>
          <w:p>
            <w:r>
              <w:t>Duplicate webhook/event delivery must not create duplicate evidence or downstream outcomes.</w:t>
            </w:r>
          </w:p>
        </w:tc>
        <w:tc>
          <w:tcPr>
            <w:tcW w:type="dxa" w:w="2592"/>
          </w:tcPr>
          <w:p>
            <w:r>
              <w:t>Reliability</w:t>
            </w:r>
          </w:p>
        </w:tc>
      </w:tr>
      <w:tr>
        <w:tc>
          <w:tcPr>
            <w:tcW w:type="dxa" w:w="2592"/>
          </w:tcPr>
          <w:p>
            <w:r>
              <w:t>ENG-A4-09</w:t>
            </w:r>
          </w:p>
        </w:tc>
        <w:tc>
          <w:tcPr>
            <w:tcW w:type="dxa" w:w="2592"/>
          </w:tcPr>
          <w:p>
            <w:r>
              <w:t>Event ordering</w:t>
            </w:r>
          </w:p>
        </w:tc>
        <w:tc>
          <w:tcPr>
            <w:tcW w:type="dxa" w:w="2592"/>
          </w:tcPr>
          <w:p>
            <w:r>
              <w:t>Out-of-order/late events must be safely handled without creating impossible lifecycle/completion states.</w:t>
            </w:r>
          </w:p>
        </w:tc>
        <w:tc>
          <w:tcPr>
            <w:tcW w:type="dxa" w:w="2592"/>
          </w:tcPr>
          <w:p>
            <w:r>
              <w:t>Reliability</w:t>
            </w:r>
          </w:p>
        </w:tc>
      </w:tr>
      <w:tr>
        <w:tc>
          <w:tcPr>
            <w:tcW w:type="dxa" w:w="2592"/>
          </w:tcPr>
          <w:p>
            <w:r>
              <w:t>ENG-A4-10</w:t>
            </w:r>
          </w:p>
        </w:tc>
        <w:tc>
          <w:tcPr>
            <w:tcW w:type="dxa" w:w="2592"/>
          </w:tcPr>
          <w:p>
            <w:r>
              <w:t>Evidence boundary</w:t>
            </w:r>
          </w:p>
        </w:tc>
        <w:tc>
          <w:tcPr>
            <w:tcW w:type="dxa" w:w="2592"/>
          </w:tcPr>
          <w:p>
            <w:r>
              <w:t>Provider participation is evidence; provider events cannot directly set authoritative attendance/completion.</w:t>
            </w:r>
          </w:p>
        </w:tc>
        <w:tc>
          <w:tcPr>
            <w:tcW w:type="dxa" w:w="2592"/>
          </w:tcPr>
          <w:p>
            <w:r>
              <w:t>Domain authority</w:t>
            </w:r>
          </w:p>
        </w:tc>
      </w:tr>
      <w:tr>
        <w:tc>
          <w:tcPr>
            <w:tcW w:type="dxa" w:w="2592"/>
          </w:tcPr>
          <w:p>
            <w:r>
              <w:t>ENG-A4-11</w:t>
            </w:r>
          </w:p>
        </w:tc>
        <w:tc>
          <w:tcPr>
            <w:tcW w:type="dxa" w:w="2592"/>
          </w:tcPr>
          <w:p>
            <w:r>
              <w:t>Attendance</w:t>
            </w:r>
          </w:p>
        </w:tc>
        <w:tc>
          <w:tcPr>
            <w:tcW w:type="dxa" w:w="2592"/>
          </w:tcPr>
          <w:p>
            <w:r>
              <w:t>Attendance evaluation is RUMAHAGEN-governed and policy/config driven; do not hardcode unresolved numeric policy.</w:t>
            </w:r>
          </w:p>
        </w:tc>
        <w:tc>
          <w:tcPr>
            <w:tcW w:type="dxa" w:w="2592"/>
          </w:tcPr>
          <w:p>
            <w:r>
              <w:t>Business rule</w:t>
            </w:r>
          </w:p>
        </w:tc>
      </w:tr>
      <w:tr>
        <w:tc>
          <w:tcPr>
            <w:tcW w:type="dxa" w:w="2592"/>
          </w:tcPr>
          <w:p>
            <w:r>
              <w:t>ENG-A4-12</w:t>
            </w:r>
          </w:p>
        </w:tc>
        <w:tc>
          <w:tcPr>
            <w:tcW w:type="dxa" w:w="2592"/>
          </w:tcPr>
          <w:p>
            <w:r>
              <w:t>Completion</w:t>
            </w:r>
          </w:p>
        </w:tc>
        <w:tc>
          <w:tcPr>
            <w:tcW w:type="dxa" w:w="2592"/>
          </w:tcPr>
          <w:p>
            <w:r>
              <w:t>Completion evaluation consumes governed evidence/policy; JOIN/LEAVE alone cannot establish completion.</w:t>
            </w:r>
          </w:p>
        </w:tc>
        <w:tc>
          <w:tcPr>
            <w:tcW w:type="dxa" w:w="2592"/>
          </w:tcPr>
          <w:p>
            <w:r>
              <w:t>Domain authority</w:t>
            </w:r>
          </w:p>
        </w:tc>
      </w:tr>
      <w:tr>
        <w:tc>
          <w:tcPr>
            <w:tcW w:type="dxa" w:w="2592"/>
          </w:tcPr>
          <w:p>
            <w:r>
              <w:t>ENG-A4-13</w:t>
            </w:r>
          </w:p>
        </w:tc>
        <w:tc>
          <w:tcPr>
            <w:tcW w:type="dxa" w:w="2592"/>
          </w:tcPr>
          <w:p>
            <w:r>
              <w:t>Learning Activity</w:t>
            </w:r>
          </w:p>
        </w:tc>
        <w:tc>
          <w:tcPr>
            <w:tcW w:type="dxa" w:w="2592"/>
          </w:tcPr>
          <w:p>
            <w:r>
              <w:t>Learning Activity handoff is a cross-domain integration boundary; keep MADCR-049 conditional.</w:t>
            </w:r>
          </w:p>
        </w:tc>
        <w:tc>
          <w:tcPr>
            <w:tcW w:type="dxa" w:w="2592"/>
          </w:tcPr>
          <w:p>
            <w:r>
              <w:t>Cross-domain</w:t>
            </w:r>
          </w:p>
        </w:tc>
      </w:tr>
      <w:tr>
        <w:tc>
          <w:tcPr>
            <w:tcW w:type="dxa" w:w="2592"/>
          </w:tcPr>
          <w:p>
            <w:r>
              <w:t>ENG-A4-14</w:t>
            </w:r>
          </w:p>
        </w:tc>
        <w:tc>
          <w:tcPr>
            <w:tcW w:type="dxa" w:w="2592"/>
          </w:tcPr>
          <w:p>
            <w:r>
              <w:t>Learning Points</w:t>
            </w:r>
          </w:p>
        </w:tc>
        <w:tc>
          <w:tcPr>
            <w:tcW w:type="dxa" w:w="2592"/>
          </w:tcPr>
          <w:p>
            <w:r>
              <w:t>Learning Session must not directly write official LP transactions.</w:t>
            </w:r>
          </w:p>
        </w:tc>
        <w:tc>
          <w:tcPr>
            <w:tcW w:type="dxa" w:w="2592"/>
          </w:tcPr>
          <w:p>
            <w:r>
              <w:t>Cross-domain</w:t>
            </w:r>
          </w:p>
        </w:tc>
      </w:tr>
      <w:tr>
        <w:tc>
          <w:tcPr>
            <w:tcW w:type="dxa" w:w="2592"/>
          </w:tcPr>
          <w:p>
            <w:r>
              <w:t>ENG-A4-15</w:t>
            </w:r>
          </w:p>
        </w:tc>
        <w:tc>
          <w:tcPr>
            <w:tcW w:type="dxa" w:w="2592"/>
          </w:tcPr>
          <w:p>
            <w:r>
              <w:t>Assessment</w:t>
            </w:r>
          </w:p>
        </w:tc>
        <w:tc>
          <w:tcPr>
            <w:tcW w:type="dxa" w:w="2592"/>
          </w:tcPr>
          <w:p>
            <w:r>
              <w:t>Required assessment remains independent; session completion cannot bypass it.</w:t>
            </w:r>
          </w:p>
        </w:tc>
        <w:tc>
          <w:tcPr>
            <w:tcW w:type="dxa" w:w="2592"/>
          </w:tcPr>
          <w:p>
            <w:r>
              <w:t>Cross-domain</w:t>
            </w:r>
          </w:p>
        </w:tc>
      </w:tr>
      <w:tr>
        <w:tc>
          <w:tcPr>
            <w:tcW w:type="dxa" w:w="2592"/>
          </w:tcPr>
          <w:p>
            <w:r>
              <w:t>ENG-A4-16</w:t>
            </w:r>
          </w:p>
        </w:tc>
        <w:tc>
          <w:tcPr>
            <w:tcW w:type="dxa" w:w="2592"/>
          </w:tcPr>
          <w:p>
            <w:r>
              <w:t>Awarding</w:t>
            </w:r>
          </w:p>
        </w:tc>
        <w:tc>
          <w:tcPr>
            <w:tcW w:type="dxa" w:w="2592"/>
          </w:tcPr>
          <w:p>
            <w:r>
              <w:t>Session completion must not directly create Title/Award Instance.</w:t>
            </w:r>
          </w:p>
        </w:tc>
        <w:tc>
          <w:tcPr>
            <w:tcW w:type="dxa" w:w="2592"/>
          </w:tcPr>
          <w:p>
            <w:r>
              <w:t>Cross-domain</w:t>
            </w:r>
          </w:p>
        </w:tc>
      </w:tr>
      <w:tr>
        <w:tc>
          <w:tcPr>
            <w:tcW w:type="dxa" w:w="2592"/>
          </w:tcPr>
          <w:p>
            <w:r>
              <w:t>ENG-A4-17</w:t>
            </w:r>
          </w:p>
        </w:tc>
        <w:tc>
          <w:tcPr>
            <w:tcW w:type="dxa" w:w="2592"/>
          </w:tcPr>
          <w:p>
            <w:r>
              <w:t>Commercial</w:t>
            </w:r>
          </w:p>
        </w:tc>
        <w:tc>
          <w:tcPr>
            <w:tcW w:type="dxa" w:w="2592"/>
          </w:tcPr>
          <w:p>
            <w:r>
              <w:t>Paid access consumes Commercial/Payment outcome; no duplicate payment/entitlement logic in Learning.</w:t>
            </w:r>
          </w:p>
        </w:tc>
        <w:tc>
          <w:tcPr>
            <w:tcW w:type="dxa" w:w="2592"/>
          </w:tcPr>
          <w:p>
            <w:r>
              <w:t>Cross-domain</w:t>
            </w:r>
          </w:p>
        </w:tc>
      </w:tr>
      <w:tr>
        <w:tc>
          <w:tcPr>
            <w:tcW w:type="dxa" w:w="2592"/>
          </w:tcPr>
          <w:p>
            <w:r>
              <w:t>ENG-A4-18</w:t>
            </w:r>
          </w:p>
        </w:tc>
        <w:tc>
          <w:tcPr>
            <w:tcW w:type="dxa" w:w="2592"/>
          </w:tcPr>
          <w:p>
            <w:r>
              <w:t>Free-to-learn</w:t>
            </w:r>
          </w:p>
        </w:tc>
        <w:tc>
          <w:tcPr>
            <w:tcW w:type="dxa" w:w="2592"/>
          </w:tcPr>
          <w:p>
            <w:r>
              <w:t>Do not implement paid session as silent bypass of required free-to-learn pathway.</w:t>
            </w:r>
          </w:p>
        </w:tc>
        <w:tc>
          <w:tcPr>
            <w:tcW w:type="dxa" w:w="2592"/>
          </w:tcPr>
          <w:p>
            <w:r>
              <w:t>Product rule</w:t>
            </w:r>
          </w:p>
        </w:tc>
      </w:tr>
      <w:tr>
        <w:tc>
          <w:tcPr>
            <w:tcW w:type="dxa" w:w="2592"/>
          </w:tcPr>
          <w:p>
            <w:r>
              <w:t>ENG-A4-19</w:t>
            </w:r>
          </w:p>
        </w:tc>
        <w:tc>
          <w:tcPr>
            <w:tcW w:type="dxa" w:w="2592"/>
          </w:tcPr>
          <w:p>
            <w:r>
              <w:t>Provider switching</w:t>
            </w:r>
          </w:p>
        </w:tc>
        <w:tc>
          <w:tcPr>
            <w:tcW w:type="dxa" w:w="2592"/>
          </w:tcPr>
          <w:p>
            <w:r>
              <w:t>Provider replacement must preserve semantic session identity/history/enrollment/valid evidence/outcome.</w:t>
            </w:r>
          </w:p>
        </w:tc>
        <w:tc>
          <w:tcPr>
            <w:tcW w:type="dxa" w:w="2592"/>
          </w:tcPr>
          <w:p>
            <w:r>
              <w:t>Reliability</w:t>
            </w:r>
          </w:p>
        </w:tc>
      </w:tr>
      <w:tr>
        <w:tc>
          <w:tcPr>
            <w:tcW w:type="dxa" w:w="2592"/>
          </w:tcPr>
          <w:p>
            <w:r>
              <w:t>ENG-A4-20</w:t>
            </w:r>
          </w:p>
        </w:tc>
        <w:tc>
          <w:tcPr>
            <w:tcW w:type="dxa" w:w="2592"/>
          </w:tcPr>
          <w:p>
            <w:r>
              <w:t>Failover</w:t>
            </w:r>
          </w:p>
        </w:tc>
        <w:tc>
          <w:tcPr>
            <w:tcW w:type="dxa" w:w="2592"/>
          </w:tcPr>
          <w:p>
            <w:r>
              <w:t>Automatic cross-provider failover is not mandatory; do not implement as assumption while OD-08 is open.</w:t>
            </w:r>
          </w:p>
        </w:tc>
        <w:tc>
          <w:tcPr>
            <w:tcW w:type="dxa" w:w="2592"/>
          </w:tcPr>
          <w:p>
            <w:r>
              <w:t>Open decision</w:t>
            </w:r>
          </w:p>
        </w:tc>
      </w:tr>
      <w:tr>
        <w:tc>
          <w:tcPr>
            <w:tcW w:type="dxa" w:w="2592"/>
          </w:tcPr>
          <w:p>
            <w:r>
              <w:t>ENG-A4-21</w:t>
            </w:r>
          </w:p>
        </w:tc>
        <w:tc>
          <w:tcPr>
            <w:tcW w:type="dxa" w:w="2592"/>
          </w:tcPr>
          <w:p>
            <w:r>
              <w:t>Recording</w:t>
            </w:r>
          </w:p>
        </w:tc>
        <w:tc>
          <w:tcPr>
            <w:tcW w:type="dxa" w:w="2592"/>
          </w:tcPr>
          <w:p>
            <w:r>
              <w:t>Treat recording as optional artifact/reference, separate from attendance/completion authority.</w:t>
            </w:r>
          </w:p>
        </w:tc>
        <w:tc>
          <w:tcPr>
            <w:tcW w:type="dxa" w:w="2592"/>
          </w:tcPr>
          <w:p>
            <w:r>
              <w:t>Artifact</w:t>
            </w:r>
          </w:p>
        </w:tc>
      </w:tr>
      <w:tr>
        <w:tc>
          <w:tcPr>
            <w:tcW w:type="dxa" w:w="2592"/>
          </w:tcPr>
          <w:p>
            <w:r>
              <w:t>ENG-A4-22</w:t>
            </w:r>
          </w:p>
        </w:tc>
        <w:tc>
          <w:tcPr>
            <w:tcW w:type="dxa" w:w="2592"/>
          </w:tcPr>
          <w:p>
            <w:r>
              <w:t>AI</w:t>
            </w:r>
          </w:p>
        </w:tc>
        <w:tc>
          <w:tcPr>
            <w:tcW w:type="dxa" w:w="2592"/>
          </w:tcPr>
          <w:p>
            <w:r>
              <w:t>AI remains assistive; no AI-generated attendance/completion/LP/credential/title becomes authoritative without governed rule.</w:t>
            </w:r>
          </w:p>
        </w:tc>
        <w:tc>
          <w:tcPr>
            <w:tcW w:type="dxa" w:w="2592"/>
          </w:tcPr>
          <w:p>
            <w:r>
              <w:t>AI boundary</w:t>
            </w:r>
          </w:p>
        </w:tc>
      </w:tr>
      <w:tr>
        <w:tc>
          <w:tcPr>
            <w:tcW w:type="dxa" w:w="2592"/>
          </w:tcPr>
          <w:p>
            <w:r>
              <w:t>ENG-A4-23</w:t>
            </w:r>
          </w:p>
        </w:tc>
        <w:tc>
          <w:tcPr>
            <w:tcW w:type="dxa" w:w="2592"/>
          </w:tcPr>
          <w:p>
            <w:r>
              <w:t>Authorization</w:t>
            </w:r>
          </w:p>
        </w:tc>
        <w:tc>
          <w:tcPr>
            <w:tcW w:type="dxa" w:w="2592"/>
          </w:tcPr>
          <w:p>
            <w:r>
              <w:t>Enforce authentication → eligibility → authorization → provider access; external meeting ID is not authorization.</w:t>
            </w:r>
          </w:p>
        </w:tc>
        <w:tc>
          <w:tcPr>
            <w:tcW w:type="dxa" w:w="2592"/>
          </w:tcPr>
          <w:p>
            <w:r>
              <w:t>Security</w:t>
            </w:r>
          </w:p>
        </w:tc>
      </w:tr>
      <w:tr>
        <w:tc>
          <w:tcPr>
            <w:tcW w:type="dxa" w:w="2592"/>
          </w:tcPr>
          <w:p>
            <w:r>
              <w:t>ENG-A4-24</w:t>
            </w:r>
          </w:p>
        </w:tc>
        <w:tc>
          <w:tcPr>
            <w:tcW w:type="dxa" w:w="2592"/>
          </w:tcPr>
          <w:p>
            <w:r>
              <w:t>RBAC</w:t>
            </w:r>
          </w:p>
        </w:tc>
        <w:tc>
          <w:tcPr>
            <w:tcW w:type="dxa" w:w="2592"/>
          </w:tcPr>
          <w:p>
            <w:r>
              <w:t>Do not invent final permission IDs or infer Host authority before MADCR-053/054 reconciliation.</w:t>
            </w:r>
          </w:p>
        </w:tc>
        <w:tc>
          <w:tcPr>
            <w:tcW w:type="dxa" w:w="2592"/>
          </w:tcPr>
          <w:p>
            <w:r>
              <w:t>Governance</w:t>
            </w:r>
          </w:p>
        </w:tc>
      </w:tr>
      <w:tr>
        <w:tc>
          <w:tcPr>
            <w:tcW w:type="dxa" w:w="2592"/>
          </w:tcPr>
          <w:p>
            <w:r>
              <w:t>ENG-A4-25</w:t>
            </w:r>
          </w:p>
        </w:tc>
        <w:tc>
          <w:tcPr>
            <w:tcW w:type="dxa" w:w="2592"/>
          </w:tcPr>
          <w:p>
            <w:r>
              <w:t>Ownership/RLS</w:t>
            </w:r>
          </w:p>
        </w:tc>
        <w:tc>
          <w:tcPr>
            <w:tcW w:type="dxa" w:w="2592"/>
          </w:tcPr>
          <w:p>
            <w:r>
              <w:t>RBAC remains first authorization layer; ownership/scope/RLS remains a second enforcement layer where applicable.</w:t>
            </w:r>
          </w:p>
        </w:tc>
        <w:tc>
          <w:tcPr>
            <w:tcW w:type="dxa" w:w="2592"/>
          </w:tcPr>
          <w:p>
            <w:r>
              <w:t>Security</w:t>
            </w:r>
          </w:p>
        </w:tc>
      </w:tr>
      <w:tr>
        <w:tc>
          <w:tcPr>
            <w:tcW w:type="dxa" w:w="2592"/>
          </w:tcPr>
          <w:p>
            <w:r>
              <w:t>ENG-A4-26</w:t>
            </w:r>
          </w:p>
        </w:tc>
        <w:tc>
          <w:tcPr>
            <w:tcW w:type="dxa" w:w="2592"/>
          </w:tcPr>
          <w:p>
            <w:r>
              <w:t>Secrets</w:t>
            </w:r>
          </w:p>
        </w:tc>
        <w:tc>
          <w:tcPr>
            <w:tcW w:type="dxa" w:w="2592"/>
          </w:tcPr>
          <w:p>
            <w:r>
              <w:t>Provider credentials/tokens remain adapter/infrastructure controlled and never become ordinary user-facing data.</w:t>
            </w:r>
          </w:p>
        </w:tc>
        <w:tc>
          <w:tcPr>
            <w:tcW w:type="dxa" w:w="2592"/>
          </w:tcPr>
          <w:p>
            <w:r>
              <w:t>Security</w:t>
            </w:r>
          </w:p>
        </w:tc>
      </w:tr>
      <w:tr>
        <w:tc>
          <w:tcPr>
            <w:tcW w:type="dxa" w:w="2592"/>
          </w:tcPr>
          <w:p>
            <w:r>
              <w:t>ENG-A4-27</w:t>
            </w:r>
          </w:p>
        </w:tc>
        <w:tc>
          <w:tcPr>
            <w:tcW w:type="dxa" w:w="2592"/>
          </w:tcPr>
          <w:p>
            <w:r>
              <w:t>Audit</w:t>
            </w:r>
          </w:p>
        </w:tc>
        <w:tc>
          <w:tcPr>
            <w:tcW w:type="dxa" w:w="2592"/>
          </w:tcPr>
          <w:p>
            <w:r>
              <w:t>Record provenance for session, binding, provider evidence, attendance/completion and material transitions.</w:t>
            </w:r>
          </w:p>
        </w:tc>
        <w:tc>
          <w:tcPr>
            <w:tcW w:type="dxa" w:w="2592"/>
          </w:tcPr>
          <w:p>
            <w:r>
              <w:t>Audit</w:t>
            </w:r>
          </w:p>
        </w:tc>
      </w:tr>
      <w:tr>
        <w:tc>
          <w:tcPr>
            <w:tcW w:type="dxa" w:w="2592"/>
          </w:tcPr>
          <w:p>
            <w:r>
              <w:t>ENG-A4-28</w:t>
            </w:r>
          </w:p>
        </w:tc>
        <w:tc>
          <w:tcPr>
            <w:tcW w:type="dxa" w:w="2592"/>
          </w:tcPr>
          <w:p>
            <w:r>
              <w:t>Historical integrity</w:t>
            </w:r>
          </w:p>
        </w:tc>
        <w:tc>
          <w:tcPr>
            <w:tcW w:type="dxa" w:w="2592"/>
          </w:tcPr>
          <w:p>
            <w:r>
              <w:t>Configuration/provider changes must not rewrite historical outcomes; corrections require governed/audited paths.</w:t>
            </w:r>
          </w:p>
        </w:tc>
        <w:tc>
          <w:tcPr>
            <w:tcW w:type="dxa" w:w="2592"/>
          </w:tcPr>
          <w:p>
            <w:r>
              <w:t>Audit</w:t>
            </w:r>
          </w:p>
        </w:tc>
      </w:tr>
      <w:tr>
        <w:tc>
          <w:tcPr>
            <w:tcW w:type="dxa" w:w="2592"/>
          </w:tcPr>
          <w:p>
            <w:r>
              <w:t>ENG-A4-29</w:t>
            </w:r>
          </w:p>
        </w:tc>
        <w:tc>
          <w:tcPr>
            <w:tcW w:type="dxa" w:w="2592"/>
          </w:tcPr>
          <w:p>
            <w:r>
              <w:t>Recovery</w:t>
            </w:r>
          </w:p>
        </w:tc>
        <w:tc>
          <w:tcPr>
            <w:tcW w:type="dxa" w:w="2592"/>
          </w:tcPr>
          <w:p>
            <w:r>
              <w:t>Provider failure/retry must preserve Learning history and support idempotent recovery.</w:t>
            </w:r>
          </w:p>
        </w:tc>
        <w:tc>
          <w:tcPr>
            <w:tcW w:type="dxa" w:w="2592"/>
          </w:tcPr>
          <w:p>
            <w:r>
              <w:t>Reliability</w:t>
            </w:r>
          </w:p>
        </w:tc>
      </w:tr>
      <w:tr>
        <w:tc>
          <w:tcPr>
            <w:tcW w:type="dxa" w:w="2592"/>
          </w:tcPr>
          <w:p>
            <w:r>
              <w:t>ENG-A4-30</w:t>
            </w:r>
          </w:p>
        </w:tc>
        <w:tc>
          <w:tcPr>
            <w:tcW w:type="dxa" w:w="2592"/>
          </w:tcPr>
          <w:p>
            <w:r>
              <w:t>No physical lock</w:t>
            </w:r>
          </w:p>
        </w:tc>
        <w:tc>
          <w:tcPr>
            <w:tcW w:type="dxa" w:w="2592"/>
          </w:tcPr>
          <w:p>
            <w:r>
              <w:t>Do not create SQL migrations, physical tables/columns/FKs or provider-specific schema solely from this impact artifact.</w:t>
            </w:r>
          </w:p>
        </w:tc>
        <w:tc>
          <w:tcPr>
            <w:tcW w:type="dxa" w:w="2592"/>
          </w:tcPr>
          <w:p>
            <w:r>
              <w:t>Governance</w:t>
            </w:r>
          </w:p>
        </w:tc>
      </w:tr>
    </w:tbl>
    <w:p>
      <w:pPr>
        <w:pStyle w:val="Heading1"/>
      </w:pPr>
      <w:r>
        <w:t>4. Required Implementation Shape</w:t>
      </w:r>
    </w:p>
    <w:p>
      <w:pPr>
        <w:pStyle w:val="ListBullet"/>
      </w:pPr>
      <w:r>
        <w:t>Core Learning code should depend on provider-neutral session operations, not vendor SDK models.</w:t>
      </w:r>
    </w:p>
    <w:p>
      <w:pPr>
        <w:pStyle w:val="ListBullet"/>
      </w:pPr>
      <w:r>
        <w:t>Session Orchestrator coordinates lifecycle, provider binding, evidence ingestion and cross-domain handoffs; it is not a new business domain.</w:t>
      </w:r>
    </w:p>
    <w:p>
      <w:pPr>
        <w:pStyle w:val="ListBullet"/>
      </w:pPr>
      <w:r>
        <w:t>Provider Adapter translates provider-specific API/event semantics into normalized contracts.</w:t>
      </w:r>
    </w:p>
    <w:p>
      <w:pPr>
        <w:pStyle w:val="ListBullet"/>
      </w:pPr>
      <w:r>
        <w:t>Participation Evidence is an intermediate evidence/provenance layer before attendance evaluation.</w:t>
      </w:r>
    </w:p>
    <w:p>
      <w:pPr>
        <w:pStyle w:val="ListBullet"/>
      </w:pPr>
      <w:r>
        <w:t>Attendance Evaluation and Completion Evaluation remain explicit policy/evaluation boundaries.</w:t>
      </w:r>
    </w:p>
    <w:p>
      <w:pPr>
        <w:pStyle w:val="ListBullet"/>
      </w:pPr>
      <w:r>
        <w:t>Learning Activity Handoff is an integration boundary; downstream LP processing remains Learning Economy-owned.</w:t>
      </w:r>
    </w:p>
    <w:p>
      <w:pPr>
        <w:pStyle w:val="ListBullet"/>
      </w:pPr>
      <w:r>
        <w:t>Provider Binding must support effective history so switching does not destroy prior execution context.</w:t>
      </w:r>
    </w:p>
    <w:p>
      <w:pPr>
        <w:pStyle w:val="ListBullet"/>
      </w:pPr>
      <w:r>
        <w:t>Audit/provenance should reuse/evolve existing audit architecture rather than create a parallel authority.</w:t>
      </w:r>
    </w:p>
    <w:p>
      <w:pPr>
        <w:pStyle w:val="Heading1"/>
      </w:pPr>
      <w:r>
        <w:t>5. State Machine Enforcement</w:t>
      </w:r>
    </w:p>
    <w:p>
      <w:r>
        <w:t>Session lifecycle: DRAFT → SCHEDULED → LIVE → ENDED; CANCELLED and FAILED are exception branches. Transitions must be server-controlled and auditable.</w:t>
      </w:r>
    </w:p>
    <w:p>
      <w:r>
        <w:t>Session Enrollment lifecycle: PENDING → ACTIVE → COMPLETED. PENDING does not grant provider access; ACTIVE is access-granting state; COMPLETED is a governed learning/session outcome.</w:t>
      </w:r>
    </w:p>
    <w:p>
      <w:r>
        <w:t>Engineering must prevent arbitrary client-side status changes and preserve temporal/provenance information for transitions.</w:t>
      </w:r>
    </w:p>
    <w:p>
      <w:pPr>
        <w:pStyle w:val="Heading1"/>
      </w:pPr>
      <w:r>
        <w:t>6. Provider Event Processing Pipeline</w:t>
      </w:r>
    </w:p>
    <w:p>
      <w:r>
        <w:t>Provider Event → authenticate/integrity-check → validate schema → correlate provider binding/session/participant → normalize → idempotency check → persist evidence/audit → derive permitted session-state evidence → Attendance Evaluation / Completion Policy.</w:t>
      </w:r>
    </w:p>
    <w:p>
      <w:r>
        <w:t>Normalized event types include SESSION_STARTED, SESSION_ENDED, PARTICIPANT_JOINED, PARTICIPANT_LEFT, PARTICIPANT_RECONNECTED and RECORDING_AVAILABLE; exact vendor payloads remain adapter-internal. fileciteturn15file5</w:t>
      </w:r>
    </w:p>
    <w:p>
      <w:pPr>
        <w:pStyle w:val="Heading1"/>
      </w:pPr>
      <w:r>
        <w:t>7. Idempotency &amp; Reliability Rules</w:t>
      </w:r>
    </w:p>
    <w:p>
      <w:pPr>
        <w:pStyle w:val="ListBullet"/>
      </w:pPr>
      <w:r>
        <w:t>Use a deterministic provider-event identity/correlation strategy appropriate to the provider event source.</w:t>
      </w:r>
    </w:p>
    <w:p>
      <w:pPr>
        <w:pStyle w:val="ListBullet"/>
      </w:pPr>
      <w:r>
        <w:t>Repeated delivery must be safe and must not duplicate Participation Evidence or downstream outcomes.</w:t>
      </w:r>
    </w:p>
    <w:p>
      <w:pPr>
        <w:pStyle w:val="ListBullet"/>
      </w:pPr>
      <w:r>
        <w:t>Retries must not create duplicate active Provider Binding history.</w:t>
      </w:r>
    </w:p>
    <w:p>
      <w:pPr>
        <w:pStyle w:val="ListBullet"/>
      </w:pPr>
      <w:r>
        <w:t>Out-of-order events must not bypass lifecycle guards.</w:t>
      </w:r>
    </w:p>
    <w:p>
      <w:pPr>
        <w:pStyle w:val="ListBullet"/>
      </w:pPr>
      <w:r>
        <w:t>Provider failure must preserve semantic Learning history.</w:t>
      </w:r>
    </w:p>
    <w:p>
      <w:pPr>
        <w:pStyle w:val="ListBullet"/>
      </w:pPr>
      <w:r>
        <w:t>Provider switching must preserve semantic Learning Session identity and valid historical evidence.</w:t>
      </w:r>
    </w:p>
    <w:p>
      <w:pPr>
        <w:pStyle w:val="ListBullet"/>
      </w:pPr>
      <w:r>
        <w:t>Automatic failover remains non-mandatory while OD-08 is open.</w:t>
      </w:r>
    </w:p>
    <w:p>
      <w:pPr>
        <w:pStyle w:val="Heading1"/>
      </w:pPr>
      <w:r>
        <w:t>8. Security &amp; Authorization Enforcement</w:t>
      </w:r>
    </w:p>
    <w:p>
      <w:pPr>
        <w:pStyle w:val="ListBullet"/>
      </w:pPr>
      <w:r>
        <w:t>Authentication precedes authorization.</w:t>
      </w:r>
    </w:p>
    <w:p>
      <w:pPr>
        <w:pStyle w:val="ListBullet"/>
      </w:pPr>
      <w:r>
        <w:t>Eligibility and authorization must be evaluated before provider access resolution.</w:t>
      </w:r>
    </w:p>
    <w:p>
      <w:pPr>
        <w:pStyle w:val="ListBullet"/>
      </w:pPr>
      <w:r>
        <w:t>Provider access credentials/tokens remain adapter/infrastructure controlled.</w:t>
      </w:r>
    </w:p>
    <w:p>
      <w:pPr>
        <w:pStyle w:val="ListBullet"/>
      </w:pPr>
      <w:r>
        <w:t>RBAC permission checks must be enforced server-side.</w:t>
      </w:r>
    </w:p>
    <w:p>
      <w:pPr>
        <w:pStyle w:val="ListBullet"/>
      </w:pPr>
      <w:r>
        <w:t>Ownership/scope/RLS controls remain a second layer where applicable.</w:t>
      </w:r>
    </w:p>
    <w:p>
      <w:pPr>
        <w:pStyle w:val="ListBullet"/>
      </w:pPr>
      <w:r>
        <w:t>Do not infer Host authority from the Instructor role until MADCR-053/054 are resolved.</w:t>
      </w:r>
    </w:p>
    <w:p>
      <w:pPr>
        <w:pStyle w:val="ListBullet"/>
      </w:pPr>
      <w:r>
        <w:t>Provider webhook endpoints must authenticate/integrity-check provider-originated events before mutation.</w:t>
      </w:r>
    </w:p>
    <w:p>
      <w:pPr>
        <w:pStyle w:val="Heading1"/>
      </w:pPr>
      <w:r>
        <w:t>9. Cross-Domain Engineering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Boundary</w:t>
            </w:r>
          </w:p>
        </w:tc>
        <w:tc>
          <w:tcPr>
            <w:tcW w:type="dxa" w:w="5184"/>
          </w:tcPr>
          <w:p>
            <w:r>
              <w:t>Engineering rule</w:t>
            </w:r>
          </w:p>
        </w:tc>
      </w:tr>
      <w:tr>
        <w:tc>
          <w:tcPr>
            <w:tcW w:type="dxa" w:w="5184"/>
          </w:tcPr>
          <w:p>
            <w:r>
              <w:t>Learning Economy</w:t>
            </w:r>
          </w:p>
        </w:tc>
        <w:tc>
          <w:tcPr>
            <w:tcW w:type="dxa" w:w="5184"/>
          </w:tcPr>
          <w:p>
            <w:r>
              <w:t>Session completion may hand off qualifying Learning Activity; Session must not write LP.</w:t>
            </w:r>
          </w:p>
        </w:tc>
      </w:tr>
      <w:tr>
        <w:tc>
          <w:tcPr>
            <w:tcW w:type="dxa" w:w="5184"/>
          </w:tcPr>
          <w:p>
            <w:r>
              <w:t>Commercial/Payment</w:t>
            </w:r>
          </w:p>
        </w:tc>
        <w:tc>
          <w:tcPr>
            <w:tcW w:type="dxa" w:w="5184"/>
          </w:tcPr>
          <w:p>
            <w:r>
              <w:t>Learning consumes trusted entitlement/payment outcome; no payment logic duplication.</w:t>
            </w:r>
          </w:p>
        </w:tc>
      </w:tr>
      <w:tr>
        <w:tc>
          <w:tcPr>
            <w:tcW w:type="dxa" w:w="5184"/>
          </w:tcPr>
          <w:p>
            <w:r>
              <w:t>Assessment/Competency</w:t>
            </w:r>
          </w:p>
        </w:tc>
        <w:tc>
          <w:tcPr>
            <w:tcW w:type="dxa" w:w="5184"/>
          </w:tcPr>
          <w:p>
            <w:r>
              <w:t>Required assessment remains independent.</w:t>
            </w:r>
          </w:p>
        </w:tc>
      </w:tr>
      <w:tr>
        <w:tc>
          <w:tcPr>
            <w:tcW w:type="dxa" w:w="5184"/>
          </w:tcPr>
          <w:p>
            <w:r>
              <w:t>Credential/Certificate</w:t>
            </w:r>
          </w:p>
        </w:tc>
        <w:tc>
          <w:tcPr>
            <w:tcW w:type="dxa" w:w="5184"/>
          </w:tcPr>
          <w:p>
            <w:r>
              <w:t>Session completion does not directly issue credential/certificate.</w:t>
            </w:r>
          </w:p>
        </w:tc>
      </w:tr>
      <w:tr>
        <w:tc>
          <w:tcPr>
            <w:tcW w:type="dxa" w:w="5184"/>
          </w:tcPr>
          <w:p>
            <w:r>
              <w:t>Awarding</w:t>
            </w:r>
          </w:p>
        </w:tc>
        <w:tc>
          <w:tcPr>
            <w:tcW w:type="dxa" w:w="5184"/>
          </w:tcPr>
          <w:p>
            <w:r>
              <w:t>Session does not directly create Award Instance/Title.</w:t>
            </w:r>
          </w:p>
        </w:tc>
      </w:tr>
      <w:tr>
        <w:tc>
          <w:tcPr>
            <w:tcW w:type="dxa" w:w="5184"/>
          </w:tcPr>
          <w:p>
            <w:r>
              <w:t>RBAC</w:t>
            </w:r>
          </w:p>
        </w:tc>
        <w:tc>
          <w:tcPr>
            <w:tcW w:type="dxa" w:w="5184"/>
          </w:tcPr>
          <w:p>
            <w:r>
              <w:t>AEP4 uses authorization capability; exact IDs wait for governance reconciliation.</w:t>
            </w:r>
          </w:p>
        </w:tc>
      </w:tr>
      <w:tr>
        <w:tc>
          <w:tcPr>
            <w:tcW w:type="dxa" w:w="5184"/>
          </w:tcPr>
          <w:p>
            <w:r>
              <w:t>Event Calendar</w:t>
            </w:r>
          </w:p>
        </w:tc>
        <w:tc>
          <w:tcPr>
            <w:tcW w:type="dxa" w:w="5184"/>
          </w:tcPr>
          <w:p>
            <w:r>
              <w:t>Integration/surface only; no reuse of EventRegistration as Session Enrollment.</w:t>
            </w:r>
          </w:p>
        </w:tc>
      </w:tr>
      <w:tr>
        <w:tc>
          <w:tcPr>
            <w:tcW w:type="dxa" w:w="5184"/>
          </w:tcPr>
          <w:p>
            <w:r>
              <w:t>Audit</w:t>
            </w:r>
          </w:p>
        </w:tc>
        <w:tc>
          <w:tcPr>
            <w:tcW w:type="dxa" w:w="5184"/>
          </w:tcPr>
          <w:p>
            <w:r>
              <w:t>Reuse/evolve existing audit architecture.</w:t>
            </w:r>
          </w:p>
        </w:tc>
      </w:tr>
      <w:tr>
        <w:tc>
          <w:tcPr>
            <w:tcW w:type="dxa" w:w="5184"/>
          </w:tcPr>
          <w:p>
            <w:r>
              <w:t>MADCR-049</w:t>
            </w:r>
          </w:p>
        </w:tc>
        <w:tc>
          <w:tcPr>
            <w:tcW w:type="dxa" w:w="5184"/>
          </w:tcPr>
          <w:p>
            <w:r>
              <w:t>Keep final Learning Activity evidence model conditional.</w:t>
            </w:r>
          </w:p>
        </w:tc>
      </w:tr>
    </w:tbl>
    <w:p>
      <w:pPr>
        <w:pStyle w:val="Heading1"/>
      </w:pPr>
      <w:r>
        <w:t>10. Test Obligations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Test ID</w:t>
            </w:r>
          </w:p>
        </w:tc>
        <w:tc>
          <w:tcPr>
            <w:tcW w:type="dxa" w:w="5184"/>
          </w:tcPr>
          <w:p>
            <w:r>
              <w:t>Required behavior</w:t>
            </w:r>
          </w:p>
        </w:tc>
      </w:tr>
      <w:tr>
        <w:tc>
          <w:tcPr>
            <w:tcW w:type="dxa" w:w="5184"/>
          </w:tcPr>
          <w:p>
            <w:r>
              <w:t>TEST-A4-01</w:t>
            </w:r>
          </w:p>
        </w:tc>
        <w:tc>
          <w:tcPr>
            <w:tcW w:type="dxa" w:w="5184"/>
          </w:tcPr>
          <w:p>
            <w:r>
              <w:t>Session lifecycle Valid/invalid transitions; illegal status mutation rejected.</w:t>
            </w:r>
          </w:p>
        </w:tc>
      </w:tr>
      <w:tr>
        <w:tc>
          <w:tcPr>
            <w:tcW w:type="dxa" w:w="5184"/>
          </w:tcPr>
          <w:p>
            <w:r>
              <w:t>TEST-A4-02</w:t>
            </w:r>
          </w:p>
        </w:tc>
        <w:tc>
          <w:tcPr>
            <w:tcW w:type="dxa" w:w="5184"/>
          </w:tcPr>
          <w:p>
            <w:r>
              <w:t>Enrollment lifecycle PENDING/ACTIVE/COMPLETED transitions and access gating.</w:t>
            </w:r>
          </w:p>
        </w:tc>
      </w:tr>
      <w:tr>
        <w:tc>
          <w:tcPr>
            <w:tcW w:type="dxa" w:w="5184"/>
          </w:tcPr>
          <w:p>
            <w:r>
              <w:t>TEST-A4-03</w:t>
            </w:r>
          </w:p>
        </w:tc>
        <w:tc>
          <w:tcPr>
            <w:tcW w:type="dxa" w:w="5184"/>
          </w:tcPr>
          <w:p>
            <w:r>
              <w:t>Authorization Unauthenticated, ineligible, non-active and unauthorized actors denied correctly.</w:t>
            </w:r>
          </w:p>
        </w:tc>
      </w:tr>
      <w:tr>
        <w:tc>
          <w:tcPr>
            <w:tcW w:type="dxa" w:w="5184"/>
          </w:tcPr>
          <w:p>
            <w:r>
              <w:t>TEST-A4-04</w:t>
            </w:r>
          </w:p>
        </w:tc>
        <w:tc>
          <w:tcPr>
            <w:tcW w:type="dxa" w:w="5184"/>
          </w:tcPr>
          <w:p>
            <w:r>
              <w:t>Provider isolation Core domain contains no provider SDK/vendor-specific business logic.</w:t>
            </w:r>
          </w:p>
        </w:tc>
      </w:tr>
      <w:tr>
        <w:tc>
          <w:tcPr>
            <w:tcW w:type="dxa" w:w="5184"/>
          </w:tcPr>
          <w:p>
            <w:r>
              <w:t>TEST-A4-05</w:t>
            </w:r>
          </w:p>
        </w:tc>
        <w:tc>
          <w:tcPr>
            <w:tcW w:type="dxa" w:w="5184"/>
          </w:tcPr>
          <w:p>
            <w:r>
              <w:t>Webhook authenticity Invalid/untrusted provider events cannot mutate authoritative state.</w:t>
            </w:r>
          </w:p>
        </w:tc>
      </w:tr>
      <w:tr>
        <w:tc>
          <w:tcPr>
            <w:tcW w:type="dxa" w:w="5184"/>
          </w:tcPr>
          <w:p>
            <w:r>
              <w:t>TEST-A4-06</w:t>
            </w:r>
          </w:p>
        </w:tc>
        <w:tc>
          <w:tcPr>
            <w:tcW w:type="dxa" w:w="5184"/>
          </w:tcPr>
          <w:p>
            <w:r>
              <w:t>Idempotency Repeated identical event produces one logical evidence/outcome.</w:t>
            </w:r>
          </w:p>
        </w:tc>
      </w:tr>
      <w:tr>
        <w:tc>
          <w:tcPr>
            <w:tcW w:type="dxa" w:w="5184"/>
          </w:tcPr>
          <w:p>
            <w:r>
              <w:t>TEST-A4-07</w:t>
            </w:r>
          </w:p>
        </w:tc>
        <w:tc>
          <w:tcPr>
            <w:tcW w:type="dxa" w:w="5184"/>
          </w:tcPr>
          <w:p>
            <w:r>
              <w:t>Ordering Out-of-order START/END/JOIN/LEAVE does not create impossible state.</w:t>
            </w:r>
          </w:p>
        </w:tc>
      </w:tr>
      <w:tr>
        <w:tc>
          <w:tcPr>
            <w:tcW w:type="dxa" w:w="5184"/>
          </w:tcPr>
          <w:p>
            <w:r>
              <w:t>TEST-A4-08</w:t>
            </w:r>
          </w:p>
        </w:tc>
        <w:tc>
          <w:tcPr>
            <w:tcW w:type="dxa" w:w="5184"/>
          </w:tcPr>
          <w:p>
            <w:r>
              <w:t>Attendance boundary JOIN/LEAVE never directly sets completion.</w:t>
            </w:r>
          </w:p>
        </w:tc>
      </w:tr>
      <w:tr>
        <w:tc>
          <w:tcPr>
            <w:tcW w:type="dxa" w:w="5184"/>
          </w:tcPr>
          <w:p>
            <w:r>
              <w:t>TEST-A4-09</w:t>
            </w:r>
          </w:p>
        </w:tc>
        <w:tc>
          <w:tcPr>
            <w:tcW w:type="dxa" w:w="5184"/>
          </w:tcPr>
          <w:p>
            <w:r>
              <w:t>Completion boundary Completion cannot bypass required assessment/other governed conditions.</w:t>
            </w:r>
          </w:p>
        </w:tc>
      </w:tr>
      <w:tr>
        <w:tc>
          <w:tcPr>
            <w:tcW w:type="dxa" w:w="5184"/>
          </w:tcPr>
          <w:p>
            <w:r>
              <w:t>TEST-A4-10</w:t>
            </w:r>
          </w:p>
        </w:tc>
        <w:tc>
          <w:tcPr>
            <w:tcW w:type="dxa" w:w="5184"/>
          </w:tcPr>
          <w:p>
            <w:r>
              <w:t>LP boundary Session completion cannot directly create official LP transaction.</w:t>
            </w:r>
          </w:p>
        </w:tc>
      </w:tr>
      <w:tr>
        <w:tc>
          <w:tcPr>
            <w:tcW w:type="dxa" w:w="5184"/>
          </w:tcPr>
          <w:p>
            <w:r>
              <w:t>TEST-A4-11</w:t>
            </w:r>
          </w:p>
        </w:tc>
        <w:tc>
          <w:tcPr>
            <w:tcW w:type="dxa" w:w="5184"/>
          </w:tcPr>
          <w:p>
            <w:r>
              <w:t>Awarding boundary Session completion cannot directly create Title/Award Instance.</w:t>
            </w:r>
          </w:p>
        </w:tc>
      </w:tr>
      <w:tr>
        <w:tc>
          <w:tcPr>
            <w:tcW w:type="dxa" w:w="5184"/>
          </w:tcPr>
          <w:p>
            <w:r>
              <w:t>TEST-A4-12</w:t>
            </w:r>
          </w:p>
        </w:tc>
        <w:tc>
          <w:tcPr>
            <w:tcW w:type="dxa" w:w="5184"/>
          </w:tcPr>
          <w:p>
            <w:r>
              <w:t>Provider switch Switch preserves session identity, enrollment, valid history/evidence/outcome.</w:t>
            </w:r>
          </w:p>
        </w:tc>
      </w:tr>
      <w:tr>
        <w:tc>
          <w:tcPr>
            <w:tcW w:type="dxa" w:w="5184"/>
          </w:tcPr>
          <w:p>
            <w:r>
              <w:t>TEST-A4-13</w:t>
            </w:r>
          </w:p>
        </w:tc>
        <w:tc>
          <w:tcPr>
            <w:tcW w:type="dxa" w:w="5184"/>
          </w:tcPr>
          <w:p>
            <w:r>
              <w:t>Failure/recovery Provider failure preserves history; retry is safe/idempotent.</w:t>
            </w:r>
          </w:p>
        </w:tc>
      </w:tr>
      <w:tr>
        <w:tc>
          <w:tcPr>
            <w:tcW w:type="dxa" w:w="5184"/>
          </w:tcPr>
          <w:p>
            <w:r>
              <w:t>TEST-A4-14</w:t>
            </w:r>
          </w:p>
        </w:tc>
        <w:tc>
          <w:tcPr>
            <w:tcW w:type="dxa" w:w="5184"/>
          </w:tcPr>
          <w:p>
            <w:r>
              <w:t>Recording Artifact availability does not change attendance/completion.</w:t>
            </w:r>
          </w:p>
        </w:tc>
      </w:tr>
      <w:tr>
        <w:tc>
          <w:tcPr>
            <w:tcW w:type="dxa" w:w="5184"/>
          </w:tcPr>
          <w:p>
            <w:r>
              <w:t>TEST-A4-15</w:t>
            </w:r>
          </w:p>
        </w:tc>
        <w:tc>
          <w:tcPr>
            <w:tcW w:type="dxa" w:w="5184"/>
          </w:tcPr>
          <w:p>
            <w:r>
              <w:t>Commercial Paid access consumes entitlement/payment outcome without duplicate payment authority.</w:t>
            </w:r>
          </w:p>
        </w:tc>
      </w:tr>
      <w:tr>
        <w:tc>
          <w:tcPr>
            <w:tcW w:type="dxa" w:w="5184"/>
          </w:tcPr>
          <w:p>
            <w:r>
              <w:t>TEST-A4-16</w:t>
            </w:r>
          </w:p>
        </w:tc>
        <w:tc>
          <w:tcPr>
            <w:tcW w:type="dxa" w:w="5184"/>
          </w:tcPr>
          <w:p>
            <w:r>
              <w:t>Free-to-learn Paid session cannot silently bypass required free-learning path.</w:t>
            </w:r>
          </w:p>
        </w:tc>
      </w:tr>
      <w:tr>
        <w:tc>
          <w:tcPr>
            <w:tcW w:type="dxa" w:w="5184"/>
          </w:tcPr>
          <w:p>
            <w:r>
              <w:t>TEST-A4-17</w:t>
            </w:r>
          </w:p>
        </w:tc>
        <w:tc>
          <w:tcPr>
            <w:tcW w:type="dxa" w:w="5184"/>
          </w:tcPr>
          <w:p>
            <w:r>
              <w:t>Audit Material state/evidence changes retain provenance and reconstructability.</w:t>
            </w:r>
          </w:p>
        </w:tc>
      </w:tr>
      <w:tr>
        <w:tc>
          <w:tcPr>
            <w:tcW w:type="dxa" w:w="5184"/>
          </w:tcPr>
          <w:p>
            <w:r>
              <w:t>TEST-A4-18</w:t>
            </w:r>
          </w:p>
        </w:tc>
        <w:tc>
          <w:tcPr>
            <w:tcW w:type="dxa" w:w="5184"/>
          </w:tcPr>
          <w:p>
            <w:r>
              <w:t>AI boundary AI output cannot become authoritative learning outcome without governed rule.</w:t>
            </w:r>
          </w:p>
        </w:tc>
      </w:tr>
    </w:tbl>
    <w:p>
      <w:pPr>
        <w:pStyle w:val="Heading1"/>
      </w:pPr>
      <w:r>
        <w:t>11. Prohibited Implementation Shortcuts</w:t>
      </w:r>
    </w:p>
    <w:p>
      <w:pPr>
        <w:pStyle w:val="ListBullet"/>
      </w:pPr>
      <w:r>
        <w:t>Directly storing provider meeting/session IDs as the semantic Learning Session identity.</w:t>
      </w:r>
    </w:p>
    <w:p>
      <w:pPr>
        <w:pStyle w:val="ListBullet"/>
      </w:pPr>
      <w:r>
        <w:t>Calling provider SDKs directly from generic Learning business logic.</w:t>
      </w:r>
    </w:p>
    <w:p>
      <w:pPr>
        <w:pStyle w:val="ListBullet"/>
      </w:pPr>
      <w:r>
        <w:t>Allowing frontend/client to set session or enrollment status without server-side transition validation.</w:t>
      </w:r>
    </w:p>
    <w:p>
      <w:pPr>
        <w:pStyle w:val="ListBullet"/>
      </w:pPr>
      <w:r>
        <w:t>Treating provider JOIN as attendance completion or completion as credential/title automatically.</w:t>
      </w:r>
    </w:p>
    <w:p>
      <w:pPr>
        <w:pStyle w:val="ListBullet"/>
      </w:pPr>
      <w:r>
        <w:t>Writing LP transactions from Session code.</w:t>
      </w:r>
    </w:p>
    <w:p>
      <w:pPr>
        <w:pStyle w:val="ListBullet"/>
      </w:pPr>
      <w:r>
        <w:t>Writing Award Instance/Title state from Session code.</w:t>
      </w:r>
    </w:p>
    <w:p>
      <w:pPr>
        <w:pStyle w:val="ListBullet"/>
      </w:pPr>
      <w:r>
        <w:t>Duplicating Commercial/Payment entitlement or payment state inside Learning.</w:t>
      </w:r>
    </w:p>
    <w:p>
      <w:pPr>
        <w:pStyle w:val="ListBullet"/>
      </w:pPr>
      <w:r>
        <w:t>Using M05 EventRegistration as Session Enrollment.</w:t>
      </w:r>
    </w:p>
    <w:p>
      <w:pPr>
        <w:pStyle w:val="ListBullet"/>
      </w:pPr>
      <w:r>
        <w:t>Using M04 Course Enrollment as Session Enrollment.</w:t>
      </w:r>
    </w:p>
    <w:p>
      <w:pPr>
        <w:pStyle w:val="ListBullet"/>
      </w:pPr>
      <w:r>
        <w:t>Using M05 event quota as canonical Learning Session capacity.</w:t>
      </w:r>
    </w:p>
    <w:p>
      <w:pPr>
        <w:pStyle w:val="ListBullet"/>
      </w:pPr>
      <w:r>
        <w:t>Embedding unresolved attendance percentages/grace periods as constants.</w:t>
      </w:r>
    </w:p>
    <w:p>
      <w:pPr>
        <w:pStyle w:val="ListBullet"/>
      </w:pPr>
      <w:r>
        <w:t>Implementing automatic failover while OD-08 remains open.</w:t>
      </w:r>
    </w:p>
    <w:p>
      <w:pPr>
        <w:pStyle w:val="ListBullet"/>
      </w:pPr>
      <w:r>
        <w:t>Putting provider secrets/tokens in client-visible payloads or ordinary business entities.</w:t>
      </w:r>
    </w:p>
    <w:p>
      <w:pPr>
        <w:pStyle w:val="ListBullet"/>
      </w:pPr>
      <w:r>
        <w:t>Creating a second audit authority instead of reusing/evolving existing audit architecture.</w:t>
      </w:r>
    </w:p>
    <w:p>
      <w:pPr>
        <w:pStyle w:val="ListBullet"/>
      </w:pPr>
      <w:r>
        <w:t>Closing MADCR-049 through code or PRD assumptions.</w:t>
      </w:r>
    </w:p>
    <w:p>
      <w:pPr>
        <w:pStyle w:val="ListBullet"/>
      </w:pPr>
      <w:r>
        <w:t>Creating final RBAC permission IDs based only on AEP4 assumptions.</w:t>
      </w:r>
    </w:p>
    <w:p>
      <w:pPr>
        <w:pStyle w:val="ListBullet"/>
      </w:pPr>
      <w:r>
        <w:t>Performing global project-wide technical synchronization during AEP4.</w:t>
      </w:r>
    </w:p>
    <w:p>
      <w:pPr>
        <w:pStyle w:val="Heading1"/>
      </w:pPr>
      <w:r>
        <w:t>12. AI Coding Assistant Guardrails</w:t>
      </w:r>
    </w:p>
    <w:p>
      <w:pPr>
        <w:pStyle w:val="ListBullet"/>
      </w:pPr>
      <w:r>
        <w:t>AI coding assistant must read the current project context and applicable AEP4 artifacts before changing code.</w:t>
      </w:r>
    </w:p>
    <w:p>
      <w:pPr>
        <w:pStyle w:val="ListBullet"/>
      </w:pPr>
      <w:r>
        <w:t>AI must not promote proposed LS-xxx rules into governing rules without approved decision evidence.</w:t>
      </w:r>
    </w:p>
    <w:p>
      <w:pPr>
        <w:pStyle w:val="ListBullet"/>
      </w:pPr>
      <w:r>
        <w:t>AI must not invent unresolved numeric attendance/capacity/visibility values.</w:t>
      </w:r>
    </w:p>
    <w:p>
      <w:pPr>
        <w:pStyle w:val="ListBullet"/>
      </w:pPr>
      <w:r>
        <w:t>AI must not invent final RBAC permission IDs or Host authority.</w:t>
      </w:r>
    </w:p>
    <w:p>
      <w:pPr>
        <w:pStyle w:val="ListBullet"/>
      </w:pPr>
      <w:r>
        <w:t>AI must not implement provider-specific behavior in core Learning modules.</w:t>
      </w:r>
    </w:p>
    <w:p>
      <w:pPr>
        <w:pStyle w:val="ListBullet"/>
      </w:pPr>
      <w:r>
        <w:t>AI-generated code must preserve cross-domain authority boundaries and include tests for the impacted state/evidence path.</w:t>
      </w:r>
    </w:p>
    <w:p>
      <w:pPr>
        <w:pStyle w:val="ListBullet"/>
      </w:pPr>
      <w:r>
        <w:t>Before commit, follow the project playbook's lint/type-check/test/documentation/CI expectations.</w:t>
      </w:r>
    </w:p>
    <w:p>
      <w:pPr>
        <w:pStyle w:val="Heading1"/>
      </w:pPr>
      <w:r>
        <w:t>13. Open / Deferred Items Affecting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Item</w:t>
            </w:r>
          </w:p>
        </w:tc>
        <w:tc>
          <w:tcPr>
            <w:tcW w:type="dxa" w:w="2592"/>
          </w:tcPr>
          <w:p>
            <w:r>
              <w:t>Question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Engineering treatment</w:t>
            </w:r>
          </w:p>
        </w:tc>
      </w:tr>
      <w:tr>
        <w:tc>
          <w:tcPr>
            <w:tcW w:type="dxa" w:w="2592"/>
          </w:tcPr>
          <w:p>
            <w:r>
              <w:t>OD-08</w:t>
            </w:r>
          </w:p>
        </w:tc>
        <w:tc>
          <w:tcPr>
            <w:tcW w:type="dxa" w:w="2592"/>
          </w:tcPr>
          <w:p>
            <w:r>
              <w:t>Automatic failover</w:t>
            </w:r>
          </w:p>
        </w:tc>
        <w:tc>
          <w:tcPr>
            <w:tcW w:type="dxa" w:w="2592"/>
          </w:tcPr>
          <w:p>
            <w:r>
              <w:t>OPEN / DEFERRED</w:t>
            </w:r>
          </w:p>
        </w:tc>
        <w:tc>
          <w:tcPr>
            <w:tcW w:type="dxa" w:w="2592"/>
          </w:tcPr>
          <w:p>
            <w:r>
              <w:t>Do not make mandatory.</w:t>
            </w:r>
          </w:p>
        </w:tc>
      </w:tr>
      <w:tr>
        <w:tc>
          <w:tcPr>
            <w:tcW w:type="dxa" w:w="2592"/>
          </w:tcPr>
          <w:p>
            <w:r>
              <w:t>MADCR-049</w:t>
            </w:r>
          </w:p>
        </w:tc>
        <w:tc>
          <w:tcPr>
            <w:tcW w:type="dxa" w:w="2592"/>
          </w:tcPr>
          <w:p>
            <w:r>
              <w:t>Learning Activity evidence model</w:t>
            </w:r>
          </w:p>
        </w:tc>
        <w:tc>
          <w:tcPr>
            <w:tcW w:type="dxa" w:w="2592"/>
          </w:tcPr>
          <w:p>
            <w:r>
              <w:t>OPEN / RE-EVALUATION</w:t>
            </w:r>
          </w:p>
        </w:tc>
        <w:tc>
          <w:tcPr>
            <w:tcW w:type="dxa" w:w="2592"/>
          </w:tcPr>
          <w:p>
            <w:r>
              <w:t>Keep integration boundary flexible.</w:t>
            </w:r>
          </w:p>
        </w:tc>
      </w:tr>
      <w:tr>
        <w:tc>
          <w:tcPr>
            <w:tcW w:type="dxa" w:w="2592"/>
          </w:tcPr>
          <w:p>
            <w:r>
              <w:t>MADCR-053</w:t>
            </w:r>
          </w:p>
        </w:tc>
        <w:tc>
          <w:tcPr>
            <w:tcW w:type="dxa" w:w="2592"/>
          </w:tcPr>
          <w:p>
            <w:r>
              <w:t>Cross-domain permission taxonomy</w:t>
            </w:r>
          </w:p>
        </w:tc>
        <w:tc>
          <w:tcPr>
            <w:tcW w:type="dxa" w:w="2592"/>
          </w:tcPr>
          <w:p>
            <w:r>
              <w:t>OPEN / BLOCKED</w:t>
            </w:r>
          </w:p>
        </w:tc>
        <w:tc>
          <w:tcPr>
            <w:tcW w:type="dxa" w:w="2592"/>
          </w:tcPr>
          <w:p>
            <w:r>
              <w:t>No final permission IDs.</w:t>
            </w:r>
          </w:p>
        </w:tc>
      </w:tr>
      <w:tr>
        <w:tc>
          <w:tcPr>
            <w:tcW w:type="dxa" w:w="2592"/>
          </w:tcPr>
          <w:p>
            <w:r>
              <w:t>MADCR-054</w:t>
            </w:r>
          </w:p>
        </w:tc>
        <w:tc>
          <w:tcPr>
            <w:tcW w:type="dxa" w:w="2592"/>
          </w:tcPr>
          <w:p>
            <w:r>
              <w:t>Host/Instructor authorization</w:t>
            </w:r>
          </w:p>
        </w:tc>
        <w:tc>
          <w:tcPr>
            <w:tcW w:type="dxa" w:w="2592"/>
          </w:tcPr>
          <w:p>
            <w:r>
              <w:t>OPEN / BLOCKED</w:t>
            </w:r>
          </w:p>
        </w:tc>
        <w:tc>
          <w:tcPr>
            <w:tcW w:type="dxa" w:w="2592"/>
          </w:tcPr>
          <w:p>
            <w:r>
              <w:t>No default Host assumption.</w:t>
            </w:r>
          </w:p>
        </w:tc>
      </w:tr>
      <w:tr>
        <w:tc>
          <w:tcPr>
            <w:tcW w:type="dxa" w:w="2592"/>
          </w:tcPr>
          <w:p>
            <w:r>
              <w:t>Attendance policy</w:t>
            </w:r>
          </w:p>
        </w:tc>
        <w:tc>
          <w:tcPr>
            <w:tcW w:type="dxa" w:w="2592"/>
          </w:tcPr>
          <w:p>
            <w:r>
              <w:t>Formula/threshold/exceptions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Configuration-driven; no hardcoded unresolved values.</w:t>
            </w:r>
          </w:p>
        </w:tc>
      </w:tr>
      <w:tr>
        <w:tc>
          <w:tcPr>
            <w:tcW w:type="dxa" w:w="2592"/>
          </w:tcPr>
          <w:p>
            <w:r>
              <w:t>Capacity</w:t>
            </w:r>
          </w:p>
        </w:tc>
        <w:tc>
          <w:tcPr>
            <w:tcW w:type="dxa" w:w="2592"/>
          </w:tcPr>
          <w:p>
            <w:r>
              <w:t>Canonical participant capacity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Do not promote M05 quota.</w:t>
            </w:r>
          </w:p>
        </w:tc>
      </w:tr>
      <w:tr>
        <w:tc>
          <w:tcPr>
            <w:tcW w:type="dxa" w:w="2592"/>
          </w:tcPr>
          <w:p>
            <w:r>
              <w:t>Provider capabilities</w:t>
            </w:r>
          </w:p>
        </w:tc>
        <w:tc>
          <w:tcPr>
            <w:tcW w:type="dxa" w:w="2592"/>
          </w:tcPr>
          <w:p>
            <w:r>
              <w:t>OAuth/plan/quota/rate/pricing/policy</w:t>
            </w:r>
          </w:p>
        </w:tc>
        <w:tc>
          <w:tcPr>
            <w:tcW w:type="dxa" w:w="2592"/>
          </w:tcPr>
          <w:p>
            <w:r>
              <w:t>RESEARCH REQUIRED</w:t>
            </w:r>
          </w:p>
        </w:tc>
        <w:tc>
          <w:tcPr>
            <w:tcW w:type="dxa" w:w="2592"/>
          </w:tcPr>
          <w:p>
            <w:r>
              <w:t>Adapter contract only.</w:t>
            </w:r>
          </w:p>
        </w:tc>
      </w:tr>
      <w:tr>
        <w:tc>
          <w:tcPr>
            <w:tcW w:type="dxa" w:w="2592"/>
          </w:tcPr>
          <w:p>
            <w:r>
              <w:t>Recording</w:t>
            </w:r>
          </w:p>
        </w:tc>
        <w:tc>
          <w:tcPr>
            <w:tcW w:type="dxa" w:w="2592"/>
          </w:tcPr>
          <w:p>
            <w:r>
              <w:t>Retention/privacy/transcript/replay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Artifact reference only.</w:t>
            </w:r>
          </w:p>
        </w:tc>
      </w:tr>
      <w:tr>
        <w:tc>
          <w:tcPr>
            <w:tcW w:type="dxa" w:w="2592"/>
          </w:tcPr>
          <w:p>
            <w:r>
              <w:t>Exact API/event schemas</w:t>
            </w:r>
          </w:p>
        </w:tc>
        <w:tc>
          <w:tcPr>
            <w:tcW w:type="dxa" w:w="2592"/>
          </w:tcPr>
          <w:p>
            <w:r>
              <w:t>Downstream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No vendor payload lock.</w:t>
            </w:r>
          </w:p>
        </w:tc>
      </w:tr>
      <w:tr>
        <w:tc>
          <w:tcPr>
            <w:tcW w:type="dxa" w:w="2592"/>
          </w:tcPr>
          <w:p>
            <w:r>
              <w:t>Physical schema/migrations</w:t>
            </w:r>
          </w:p>
        </w:tc>
        <w:tc>
          <w:tcPr>
            <w:tcW w:type="dxa" w:w="2592"/>
          </w:tcPr>
          <w:p>
            <w:r>
              <w:t>Downstream</w:t>
            </w:r>
          </w:p>
        </w:tc>
        <w:tc>
          <w:tcPr>
            <w:tcW w:type="dxa" w:w="2592"/>
          </w:tcPr>
          <w:p>
            <w:r>
              <w:t>NOT AUTHORIZED</w:t>
            </w:r>
          </w:p>
        </w:tc>
        <w:tc>
          <w:tcPr>
            <w:tcW w:type="dxa" w:w="2592"/>
          </w:tcPr>
          <w:p>
            <w:r>
              <w:t>No migration from this artifact.</w:t>
            </w:r>
          </w:p>
        </w:tc>
      </w:tr>
    </w:tbl>
    <w:p>
      <w:pPr>
        <w:pStyle w:val="Heading1"/>
      </w:pPr>
      <w:r>
        <w:t>14. Implementation Authorization Boundary</w:t>
      </w:r>
    </w:p>
    <w:p>
      <w:r>
        <w:t>No implementation is authorized solely by this document. The next AEP4 step is Test / Business Rule Traceability. After that, Cross-Document Reconciliation and the AEP4 Final Synchronization Gate determine whether the AEP4 domain/downstream package is coherent. Global project-wide technical synchronization remains deferred until AEP #1–#4 are complete. fileciteturn15file14</w:t>
      </w:r>
    </w:p>
    <w:p>
      <w:pPr>
        <w:pStyle w:val="Heading1"/>
      </w:pPr>
      <w:r>
        <w:t>15. Decision Assessment</w:t>
      </w:r>
    </w:p>
    <w:p>
      <w:r>
        <w:t>PASS. No new user Open Decision is required. The engineering layer can be specified without closing unresolved governance/provider/policy questions.</w:t>
      </w:r>
    </w:p>
    <w:p>
      <w:pPr>
        <w:pStyle w:val="Heading1"/>
      </w:pPr>
      <w:r>
        <w:t>16. Next Step</w:t>
      </w:r>
    </w:p>
    <w:p>
      <w:r>
        <w:t>STEP 14 — Test / Business Rule Traceability. Build the AEP4 test matrix from approved decisions, source BR evidence, product requirements and engineering guardrails. The traceability step will identify any rule that is still proposed/open and prevent it from becoming an accidental implementation requirement.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