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RUMAHAGEN — AEP #4 Learning Session</w:t>
        <w:br/>
        <w:t>STEP 15 — Cross-Document Reconciliation / Conflict Scan</w:t>
      </w:r>
    </w:p>
    <w:p>
      <w:pPr>
        <w:jc w:val="center"/>
      </w:pPr>
      <w:r>
        <w:rPr>
          <w:i/>
        </w:rPr>
        <w:t>Version 1.0 | Cross-document alignment gate | Global synchronization NOT AUTHORIZED</w:t>
      </w:r>
    </w:p>
    <w:p>
      <w:pPr>
        <w:pStyle w:val="Heading1"/>
      </w:pPr>
      <w:r>
        <w:t>1. Purpose &amp; Evidence Basis</w:t>
      </w:r>
    </w:p>
    <w:p>
      <w:r>
        <w:t>This step reconciles AEP4 Steps 01–14 against the current PRD, system architecture, inspected M04/M05 ERD/API evidence, RBAC impact, AEP2 Learning Economy, AEP3 Awarding, Commercial/Payment boundaries, Provider Adapter Contract, older Learning Session architecture context, and governance residuals. The current ERD reconciliation confirms that exact M04/M05 artifacts were inspected from the project archive and that AEP4 requires separate Learning Session and Session Enrollment concepts. fileciteturn17file9turn17file19</w:t>
      </w:r>
    </w:p>
    <w:p>
      <w:r>
        <w:t>The older Learning Session Architecture Evolution v2 explicitly labels itself future architecture context rather than a final ERD/schema/API/permission/ADR. Its provider/entity details therefore cannot override newer controlled AEP4 impacts. fileciteturn17file15</w:t>
      </w:r>
    </w:p>
    <w:p>
      <w:pPr>
        <w:pStyle w:val="Heading1"/>
      </w:pPr>
      <w:r>
        <w:t>2. Gate Result</w:t>
      </w:r>
    </w:p>
    <w:p>
      <w:r>
        <w:t>PASS WITH CONTROLLED DELTAS.</w:t>
      </w:r>
    </w:p>
    <w:p>
      <w:r>
        <w:t>No contradiction was found that requires reopening an approved AEP4 decision. Results are classified as ALIGNED, STALE/CONTROLLED DELTA, OPEN/GOVERNANCE DEPENDENCY, or NON-NORMATIVE. Global baseline synchronization is not performed at this gate.</w:t>
      </w:r>
    </w:p>
    <w:p>
      <w:pPr>
        <w:pStyle w:val="Heading1"/>
      </w:pPr>
      <w:r>
        <w:t>3. Cross-Document Reconciliation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ID</w:t>
            </w:r>
          </w:p>
        </w:tc>
        <w:tc>
          <w:tcPr>
            <w:tcW w:type="dxa" w:w="1728"/>
          </w:tcPr>
          <w:p>
            <w:r>
              <w:t>Source</w:t>
            </w:r>
          </w:p>
        </w:tc>
        <w:tc>
          <w:tcPr>
            <w:tcW w:type="dxa" w:w="1728"/>
          </w:tcPr>
          <w:p>
            <w:r>
              <w:t>Observed statement</w:t>
            </w:r>
          </w:p>
        </w:tc>
        <w:tc>
          <w:tcPr>
            <w:tcW w:type="dxa" w:w="1728"/>
          </w:tcPr>
          <w:p>
            <w:r>
              <w:t>Result</w:t>
            </w:r>
          </w:p>
        </w:tc>
        <w:tc>
          <w:tcPr>
            <w:tcW w:type="dxa" w:w="1728"/>
          </w:tcPr>
          <w:p>
            <w:r>
              <w:t>Required treatment</w:t>
            </w:r>
          </w:p>
        </w:tc>
        <w:tc>
          <w:tcPr>
            <w:tcW w:type="dxa" w:w="1728"/>
          </w:tcPr>
          <w:p>
            <w:r>
              <w:t>Decision note</w:t>
            </w:r>
          </w:p>
        </w:tc>
      </w:tr>
      <w:tr>
        <w:tc>
          <w:tcPr>
            <w:tcW w:type="dxa" w:w="1728"/>
          </w:tcPr>
          <w:p>
            <w:r>
              <w:t>CDR-01</w:t>
            </w:r>
          </w:p>
        </w:tc>
        <w:tc>
          <w:tcPr>
            <w:tcW w:type="dxa" w:w="1728"/>
          </w:tcPr>
          <w:p>
            <w:r>
              <w:t>Current PRD v1.2</w:t>
            </w:r>
          </w:p>
        </w:tc>
        <w:tc>
          <w:tcPr>
            <w:tcW w:type="dxa" w:w="1728"/>
          </w:tcPr>
          <w:p>
            <w:r>
              <w:t>Live/webinar is described as an M5 Event Calendar item; M5 RSVP is the existing interaction.</w:t>
            </w:r>
          </w:p>
        </w:tc>
        <w:tc>
          <w:tcPr>
            <w:tcW w:type="dxa" w:w="1728"/>
          </w:tcPr>
          <w:p>
            <w:r>
              <w:t>STALE / CONTROLLED DELTA</w:t>
            </w:r>
          </w:p>
        </w:tc>
        <w:tc>
          <w:tcPr>
            <w:tcW w:type="dxa" w:w="1728"/>
          </w:tcPr>
          <w:p>
            <w:r>
              <w:t>AEP4 preserves M5 calendar/RSVP. Learning Session becomes semantic authority; Event remains discovery/presentation context. Update in final global PRD sync.</w:t>
            </w:r>
          </w:p>
        </w:tc>
        <w:tc>
          <w:tcPr>
            <w:tcW w:type="dxa" w:w="1728"/>
          </w:tcPr>
          <w:p>
            <w:r>
              <w:t>No architecture reopening.</w:t>
            </w:r>
          </w:p>
        </w:tc>
      </w:tr>
      <w:tr>
        <w:tc>
          <w:tcPr>
            <w:tcW w:type="dxa" w:w="1728"/>
          </w:tcPr>
          <w:p>
            <w:r>
              <w:t>CDR-02</w:t>
            </w:r>
          </w:p>
        </w:tc>
        <w:tc>
          <w:tcPr>
            <w:tcW w:type="dxa" w:w="1728"/>
          </w:tcPr>
          <w:p>
            <w:r>
              <w:t>Current ERD/M04/M05</w:t>
            </w:r>
          </w:p>
        </w:tc>
        <w:tc>
          <w:tcPr>
            <w:tcW w:type="dxa" w:w="1728"/>
          </w:tcPr>
          <w:p>
            <w:r>
              <w:t>M04 enrollments and M05 event_registrations are existing relationships.</w:t>
            </w:r>
          </w:p>
        </w:tc>
        <w:tc>
          <w:tcPr>
            <w:tcW w:type="dxa" w:w="1728"/>
          </w:tcPr>
          <w:p>
            <w:r>
              <w:t>ALIGNED</w:t>
            </w:r>
          </w:p>
        </w:tc>
        <w:tc>
          <w:tcPr>
            <w:tcW w:type="dxa" w:w="1728"/>
          </w:tcPr>
          <w:p>
            <w:r>
              <w:t>Keep/isolated. Do not repurpose for Session Enrollment.</w:t>
            </w:r>
          </w:p>
        </w:tc>
        <w:tc>
          <w:tcPr>
            <w:tcW w:type="dxa" w:w="1728"/>
          </w:tcPr>
          <w:p>
            <w:r>
              <w:t>No conflict.</w:t>
            </w:r>
          </w:p>
        </w:tc>
      </w:tr>
      <w:tr>
        <w:tc>
          <w:tcPr>
            <w:tcW w:type="dxa" w:w="1728"/>
          </w:tcPr>
          <w:p>
            <w:r>
              <w:t>CDR-03</w:t>
            </w:r>
          </w:p>
        </w:tc>
        <w:tc>
          <w:tcPr>
            <w:tcW w:type="dxa" w:w="1728"/>
          </w:tcPr>
          <w:p>
            <w:r>
              <w:t>Current M05 events.meeting_link</w:t>
            </w:r>
          </w:p>
        </w:tc>
        <w:tc>
          <w:tcPr>
            <w:tcW w:type="dxa" w:w="1728"/>
          </w:tcPr>
          <w:p>
            <w:r>
              <w:t>Legacy generic meeting link exists.</w:t>
            </w:r>
          </w:p>
        </w:tc>
        <w:tc>
          <w:tcPr>
            <w:tcW w:type="dxa" w:w="1728"/>
          </w:tcPr>
          <w:p>
            <w:r>
              <w:t>STALE / EVOLVE</w:t>
            </w:r>
          </w:p>
        </w:tc>
        <w:tc>
          <w:tcPr>
            <w:tcW w:type="dxa" w:w="1728"/>
          </w:tcPr>
          <w:p>
            <w:r>
              <w:t>Provider Binding becomes canonical provider execution association; meeting_link is not provider identity.</w:t>
            </w:r>
          </w:p>
        </w:tc>
        <w:tc>
          <w:tcPr>
            <w:tcW w:type="dxa" w:w="1728"/>
          </w:tcPr>
          <w:p>
            <w:r>
              <w:t>Controlled downstream update.</w:t>
            </w:r>
          </w:p>
        </w:tc>
      </w:tr>
      <w:tr>
        <w:tc>
          <w:tcPr>
            <w:tcW w:type="dxa" w:w="1728"/>
          </w:tcPr>
          <w:p>
            <w:r>
              <w:t>CDR-04</w:t>
            </w:r>
          </w:p>
        </w:tc>
        <w:tc>
          <w:tcPr>
            <w:tcW w:type="dxa" w:w="1728"/>
          </w:tcPr>
          <w:p>
            <w:r>
              <w:t>Current M05 events.quota</w:t>
            </w:r>
          </w:p>
        </w:tc>
        <w:tc>
          <w:tcPr>
            <w:tcW w:type="dxa" w:w="1728"/>
          </w:tcPr>
          <w:p>
            <w:r>
              <w:t>Event quota exists.</w:t>
            </w:r>
          </w:p>
        </w:tc>
        <w:tc>
          <w:tcPr>
            <w:tcW w:type="dxa" w:w="1728"/>
          </w:tcPr>
          <w:p>
            <w:r>
              <w:t>OPEN / POTENTIAL MISREAD</w:t>
            </w:r>
          </w:p>
        </w:tc>
        <w:tc>
          <w:tcPr>
            <w:tcW w:type="dxa" w:w="1728"/>
          </w:tcPr>
          <w:p>
            <w:r>
              <w:t>Do not promote it to canonical Learning Session capacity. Capacity remains open.</w:t>
            </w:r>
          </w:p>
        </w:tc>
        <w:tc>
          <w:tcPr>
            <w:tcW w:type="dxa" w:w="1728"/>
          </w:tcPr>
          <w:p>
            <w:r>
              <w:t>No decision now.</w:t>
            </w:r>
          </w:p>
        </w:tc>
      </w:tr>
      <w:tr>
        <w:tc>
          <w:tcPr>
            <w:tcW w:type="dxa" w:w="1728"/>
          </w:tcPr>
          <w:p>
            <w:r>
              <w:t>CDR-05</w:t>
            </w:r>
          </w:p>
        </w:tc>
        <w:tc>
          <w:tcPr>
            <w:tcW w:type="dxa" w:w="1728"/>
          </w:tcPr>
          <w:p>
            <w:r>
              <w:t>Current API</w:t>
            </w:r>
          </w:p>
        </w:tc>
        <w:tc>
          <w:tcPr>
            <w:tcW w:type="dxa" w:w="1728"/>
          </w:tcPr>
          <w:p>
            <w:r>
              <w:t>Course enrollment and Event RSVP endpoints exist; no dedicated provider-neutral Learning Session contract in reviewed M04/M05 sections.</w:t>
            </w:r>
          </w:p>
        </w:tc>
        <w:tc>
          <w:tcPr>
            <w:tcW w:type="dxa" w:w="1728"/>
          </w:tcPr>
          <w:p>
            <w:r>
              <w:t>ALIGNED / NEW DELTA</w:t>
            </w:r>
          </w:p>
        </w:tc>
        <w:tc>
          <w:tcPr>
            <w:tcW w:type="dxa" w:w="1728"/>
          </w:tcPr>
          <w:p>
            <w:r>
              <w:t>Keep existing endpoint semantics; add new session API downstream.</w:t>
            </w:r>
          </w:p>
        </w:tc>
        <w:tc>
          <w:tcPr>
            <w:tcW w:type="dxa" w:w="1728"/>
          </w:tcPr>
          <w:p>
            <w:r>
              <w:t>No backward semantic change.</w:t>
            </w:r>
          </w:p>
        </w:tc>
      </w:tr>
      <w:tr>
        <w:tc>
          <w:tcPr>
            <w:tcW w:type="dxa" w:w="1728"/>
          </w:tcPr>
          <w:p>
            <w:r>
              <w:t>CDR-06</w:t>
            </w:r>
          </w:p>
        </w:tc>
        <w:tc>
          <w:tcPr>
            <w:tcW w:type="dxa" w:w="1728"/>
          </w:tcPr>
          <w:p>
            <w:r>
              <w:t>Current RBAC</w:t>
            </w:r>
          </w:p>
        </w:tc>
        <w:tc>
          <w:tcPr>
            <w:tcW w:type="dxa" w:w="1728"/>
          </w:tcPr>
          <w:p>
            <w:r>
              <w:t>Existing roles/permissions cover Learning Center and Event operations, but final Session Host/permission taxonomy is unresolved.</w:t>
            </w:r>
          </w:p>
        </w:tc>
        <w:tc>
          <w:tcPr>
            <w:tcW w:type="dxa" w:w="1728"/>
          </w:tcPr>
          <w:p>
            <w:r>
              <w:t>OPEN / GOVERNANCE DEPENDENCY</w:t>
            </w:r>
          </w:p>
        </w:tc>
        <w:tc>
          <w:tcPr>
            <w:tcW w:type="dxa" w:w="1728"/>
          </w:tcPr>
          <w:p>
            <w:r>
              <w:t>Use semantic actor boundaries only. MADCR-053/054 remain authoritative dependencies.</w:t>
            </w:r>
          </w:p>
        </w:tc>
        <w:tc>
          <w:tcPr>
            <w:tcW w:type="dxa" w:w="1728"/>
          </w:tcPr>
          <w:p>
            <w:r>
              <w:t>Do not infer Instructor=Host.</w:t>
            </w:r>
          </w:p>
        </w:tc>
      </w:tr>
      <w:tr>
        <w:tc>
          <w:tcPr>
            <w:tcW w:type="dxa" w:w="1728"/>
          </w:tcPr>
          <w:p>
            <w:r>
              <w:t>CDR-07</w:t>
            </w:r>
          </w:p>
        </w:tc>
        <w:tc>
          <w:tcPr>
            <w:tcW w:type="dxa" w:w="1728"/>
          </w:tcPr>
          <w:p>
            <w:r>
              <w:t>Current System Architecture</w:t>
            </w:r>
          </w:p>
        </w:tc>
        <w:tc>
          <w:tcPr>
            <w:tcW w:type="dxa" w:w="1728"/>
          </w:tcPr>
          <w:p>
            <w:r>
              <w:t>Baseline describes Learning Center/Event modules and route-handler-service/repository separation.</w:t>
            </w:r>
          </w:p>
        </w:tc>
        <w:tc>
          <w:tcPr>
            <w:tcW w:type="dxa" w:w="1728"/>
          </w:tcPr>
          <w:p>
            <w:r>
              <w:t>ALIGNED / EVOLVE</w:t>
            </w:r>
          </w:p>
        </w:tc>
        <w:tc>
          <w:tcPr>
            <w:tcW w:type="dxa" w:w="1728"/>
          </w:tcPr>
          <w:p>
            <w:r>
              <w:t>Add Learning Session capability inside Learning; preserve modular architecture and ownership boundary.</w:t>
            </w:r>
          </w:p>
        </w:tc>
        <w:tc>
          <w:tcPr>
            <w:tcW w:type="dxa" w:w="1728"/>
          </w:tcPr>
          <w:p>
            <w:r>
              <w:t>No new top-level domain.</w:t>
            </w:r>
          </w:p>
        </w:tc>
      </w:tr>
      <w:tr>
        <w:tc>
          <w:tcPr>
            <w:tcW w:type="dxa" w:w="1728"/>
          </w:tcPr>
          <w:p>
            <w:r>
              <w:t>CDR-08</w:t>
            </w:r>
          </w:p>
        </w:tc>
        <w:tc>
          <w:tcPr>
            <w:tcW w:type="dxa" w:w="1728"/>
          </w:tcPr>
          <w:p>
            <w:r>
              <w:t>Older Learning_Session_Architecture_Evolution_v2</w:t>
            </w:r>
          </w:p>
        </w:tc>
        <w:tc>
          <w:tcPr>
            <w:tcW w:type="dxa" w:w="1728"/>
          </w:tcPr>
          <w:p>
            <w:r>
              <w:t>Older concept lists provider/external_session_id on candidate learning_sessions and a flow toward Certificate.</w:t>
            </w:r>
          </w:p>
        </w:tc>
        <w:tc>
          <w:tcPr>
            <w:tcW w:type="dxa" w:w="1728"/>
          </w:tcPr>
          <w:p>
            <w:r>
              <w:t>STALE / NON-NORMATIVE</w:t>
            </w:r>
          </w:p>
        </w:tc>
        <w:tc>
          <w:tcPr>
            <w:tcW w:type="dxa" w:w="1728"/>
          </w:tcPr>
          <w:p>
            <w:r>
              <w:t>Treat as historical/future context. Newer AEP4 controlled boundaries supersede conflicting semantics.</w:t>
            </w:r>
          </w:p>
        </w:tc>
        <w:tc>
          <w:tcPr>
            <w:tcW w:type="dxa" w:w="1728"/>
          </w:tcPr>
          <w:p>
            <w:r>
              <w:t>Do not implement literally.</w:t>
            </w:r>
          </w:p>
        </w:tc>
      </w:tr>
      <w:tr>
        <w:tc>
          <w:tcPr>
            <w:tcW w:type="dxa" w:w="1728"/>
          </w:tcPr>
          <w:p>
            <w:r>
              <w:t>CDR-09</w:t>
            </w:r>
          </w:p>
        </w:tc>
        <w:tc>
          <w:tcPr>
            <w:tcW w:type="dxa" w:w="1728"/>
          </w:tcPr>
          <w:p>
            <w:r>
              <w:t>AEP2 Learning Economy</w:t>
            </w:r>
          </w:p>
        </w:tc>
        <w:tc>
          <w:tcPr>
            <w:tcW w:type="dxa" w:w="1728"/>
          </w:tcPr>
          <w:p>
            <w:r>
              <w:t>Learning Session was explicitly deferred to AEP4; Learning Activity/LP authority separation remains.</w:t>
            </w:r>
          </w:p>
        </w:tc>
        <w:tc>
          <w:tcPr>
            <w:tcW w:type="dxa" w:w="1728"/>
          </w:tcPr>
          <w:p>
            <w:r>
              <w:t>ALIGNED</w:t>
            </w:r>
          </w:p>
        </w:tc>
        <w:tc>
          <w:tcPr>
            <w:tcW w:type="dxa" w:w="1728"/>
          </w:tcPr>
          <w:p>
            <w:r>
              <w:t>AEP4 consumes the deferred linkage without taking LP authority.</w:t>
            </w:r>
          </w:p>
        </w:tc>
        <w:tc>
          <w:tcPr>
            <w:tcW w:type="dxa" w:w="1728"/>
          </w:tcPr>
          <w:p>
            <w:r>
              <w:t>MADCR-049 remains open.</w:t>
            </w:r>
          </w:p>
        </w:tc>
      </w:tr>
      <w:tr>
        <w:tc>
          <w:tcPr>
            <w:tcW w:type="dxa" w:w="1728"/>
          </w:tcPr>
          <w:p>
            <w:r>
              <w:t>CDR-10</w:t>
            </w:r>
          </w:p>
        </w:tc>
        <w:tc>
          <w:tcPr>
            <w:tcW w:type="dxa" w:w="1728"/>
          </w:tcPr>
          <w:p>
            <w:r>
              <w:t>AEP3 Awarding</w:t>
            </w:r>
          </w:p>
        </w:tc>
        <w:tc>
          <w:tcPr>
            <w:tcW w:type="dxa" w:w="1728"/>
          </w:tcPr>
          <w:p>
            <w:r>
              <w:t>Title/Award Instance remains distinct from Certificate/Credential; versioned Awarding Path/Rule lineage remains governed.</w:t>
            </w:r>
          </w:p>
        </w:tc>
        <w:tc>
          <w:tcPr>
            <w:tcW w:type="dxa" w:w="1728"/>
          </w:tcPr>
          <w:p>
            <w:r>
              <w:t>ALIGNED</w:t>
            </w:r>
          </w:p>
        </w:tc>
        <w:tc>
          <w:tcPr>
            <w:tcW w:type="dxa" w:w="1728"/>
          </w:tcPr>
          <w:p>
            <w:r>
              <w:t>Session completion can be evidence/input only; no direct Award Instance/Title creation.</w:t>
            </w:r>
          </w:p>
        </w:tc>
        <w:tc>
          <w:tcPr>
            <w:tcW w:type="dxa" w:w="1728"/>
          </w:tcPr>
          <w:p>
            <w:r>
              <w:t>No AEP3 reopening.</w:t>
            </w:r>
          </w:p>
        </w:tc>
      </w:tr>
      <w:tr>
        <w:tc>
          <w:tcPr>
            <w:tcW w:type="dxa" w:w="1728"/>
          </w:tcPr>
          <w:p>
            <w:r>
              <w:t>CDR-11</w:t>
            </w:r>
          </w:p>
        </w:tc>
        <w:tc>
          <w:tcPr>
            <w:tcW w:type="dxa" w:w="1728"/>
          </w:tcPr>
          <w:p>
            <w:r>
              <w:t>Commercial/Payment</w:t>
            </w:r>
          </w:p>
        </w:tc>
        <w:tc>
          <w:tcPr>
            <w:tcW w:type="dxa" w:w="1728"/>
          </w:tcPr>
          <w:p>
            <w:r>
              <w:t>Payment is within M14 Commercial; Learning consumes confirmed payment outcome and does not embed gateway logic.</w:t>
            </w:r>
          </w:p>
        </w:tc>
        <w:tc>
          <w:tcPr>
            <w:tcW w:type="dxa" w:w="1728"/>
          </w:tcPr>
          <w:p>
            <w:r>
              <w:t>ALIGNED</w:t>
            </w:r>
          </w:p>
        </w:tc>
        <w:tc>
          <w:tcPr>
            <w:tcW w:type="dxa" w:w="1728"/>
          </w:tcPr>
          <w:p>
            <w:r>
              <w:t>Paid session activation consumes trusted outcome; no duplicate payment authority.</w:t>
            </w:r>
          </w:p>
        </w:tc>
        <w:tc>
          <w:tcPr>
            <w:tcW w:type="dxa" w:w="1728"/>
          </w:tcPr>
          <w:p>
            <w:r>
              <w:t>No payment architecture change.</w:t>
            </w:r>
          </w:p>
        </w:tc>
      </w:tr>
      <w:tr>
        <w:tc>
          <w:tcPr>
            <w:tcW w:type="dxa" w:w="1728"/>
          </w:tcPr>
          <w:p>
            <w:r>
              <w:t>CDR-12</w:t>
            </w:r>
          </w:p>
        </w:tc>
        <w:tc>
          <w:tcPr>
            <w:tcW w:type="dxa" w:w="1728"/>
          </w:tcPr>
          <w:p>
            <w:r>
              <w:t>Provider Adapter Contract</w:t>
            </w:r>
          </w:p>
        </w:tc>
        <w:tc>
          <w:tcPr>
            <w:tcW w:type="dxa" w:w="1728"/>
          </w:tcPr>
          <w:p>
            <w:r>
              <w:t>Provider is infrastructure; events are validated/normalized/idempotent; switching preserves semantic session identity/history.</w:t>
            </w:r>
          </w:p>
        </w:tc>
        <w:tc>
          <w:tcPr>
            <w:tcW w:type="dxa" w:w="1728"/>
          </w:tcPr>
          <w:p>
            <w:r>
              <w:t>ALIGNED</w:t>
            </w:r>
          </w:p>
        </w:tc>
        <w:tc>
          <w:tcPr>
            <w:tcW w:type="dxa" w:w="1728"/>
          </w:tcPr>
          <w:p>
            <w:r>
              <w:t>Matches AEP4 Steps 01–14.</w:t>
            </w:r>
          </w:p>
        </w:tc>
        <w:tc>
          <w:tcPr>
            <w:tcW w:type="dxa" w:w="1728"/>
          </w:tcPr>
          <w:p>
            <w:r>
              <w:t>Provider selection remains separate.</w:t>
            </w:r>
          </w:p>
        </w:tc>
      </w:tr>
      <w:tr>
        <w:tc>
          <w:tcPr>
            <w:tcW w:type="dxa" w:w="1728"/>
          </w:tcPr>
          <w:p>
            <w:r>
              <w:t>CDR-13</w:t>
            </w:r>
          </w:p>
        </w:tc>
        <w:tc>
          <w:tcPr>
            <w:tcW w:type="dxa" w:w="1728"/>
          </w:tcPr>
          <w:p>
            <w:r>
              <w:t>AEP4 ERD/Schema/API impacts</w:t>
            </w:r>
          </w:p>
        </w:tc>
        <w:tc>
          <w:tcPr>
            <w:tcW w:type="dxa" w:w="1728"/>
          </w:tcPr>
          <w:p>
            <w:r>
              <w:t>AEP4 explicitly separates Course Enrollment, Event Registration, Session Enrollment, Provider Binding and Participation Evidence.</w:t>
            </w:r>
          </w:p>
        </w:tc>
        <w:tc>
          <w:tcPr>
            <w:tcW w:type="dxa" w:w="1728"/>
          </w:tcPr>
          <w:p>
            <w:r>
              <w:t>ALIGNED</w:t>
            </w:r>
          </w:p>
        </w:tc>
        <w:tc>
          <w:tcPr>
            <w:tcW w:type="dxa" w:w="1728"/>
          </w:tcPr>
          <w:p>
            <w:r>
              <w:t>No conflict found in controlled AEP4 chain.</w:t>
            </w:r>
          </w:p>
        </w:tc>
        <w:tc>
          <w:tcPr>
            <w:tcW w:type="dxa" w:w="1728"/>
          </w:tcPr>
          <w:p>
            <w:r>
              <w:t>Physical schema remains deferred.</w:t>
            </w:r>
          </w:p>
        </w:tc>
      </w:tr>
      <w:tr>
        <w:tc>
          <w:tcPr>
            <w:tcW w:type="dxa" w:w="1728"/>
          </w:tcPr>
          <w:p>
            <w:r>
              <w:t>CDR-14</w:t>
            </w:r>
          </w:p>
        </w:tc>
        <w:tc>
          <w:tcPr>
            <w:tcW w:type="dxa" w:w="1728"/>
          </w:tcPr>
          <w:p>
            <w:r>
              <w:t>Governance / MADCR</w:t>
            </w:r>
          </w:p>
        </w:tc>
        <w:tc>
          <w:tcPr>
            <w:tcW w:type="dxa" w:w="1728"/>
          </w:tcPr>
          <w:p>
            <w:r>
              <w:t>MADCR-049, 053, 054 remain open/blocked or re-evaluation dependencies; provider capability items remain research.</w:t>
            </w:r>
          </w:p>
        </w:tc>
        <w:tc>
          <w:tcPr>
            <w:tcW w:type="dxa" w:w="1728"/>
          </w:tcPr>
          <w:p>
            <w:r>
              <w:t>ALIGNED</w:t>
            </w:r>
          </w:p>
        </w:tc>
        <w:tc>
          <w:tcPr>
            <w:tcW w:type="dxa" w:w="1728"/>
          </w:tcPr>
          <w:p>
            <w:r>
              <w:t>Carry forward without silent closure.</w:t>
            </w:r>
          </w:p>
        </w:tc>
        <w:tc>
          <w:tcPr>
            <w:tcW w:type="dxa" w:w="1728"/>
          </w:tcPr>
          <w:p>
            <w:r>
              <w:t>No new decision.</w:t>
            </w:r>
          </w:p>
        </w:tc>
      </w:tr>
      <w:tr>
        <w:tc>
          <w:tcPr>
            <w:tcW w:type="dxa" w:w="1728"/>
          </w:tcPr>
          <w:p>
            <w:r>
              <w:t>CDR-15</w:t>
            </w:r>
          </w:p>
        </w:tc>
        <w:tc>
          <w:tcPr>
            <w:tcW w:type="dxa" w:w="1728"/>
          </w:tcPr>
          <w:p>
            <w:r>
              <w:t>Global baseline synchronization</w:t>
            </w:r>
          </w:p>
        </w:tc>
        <w:tc>
          <w:tcPr>
            <w:tcW w:type="dxa" w:w="1728"/>
          </w:tcPr>
          <w:p>
            <w:r>
              <w:t>Execution lock requires AEP1→AEP2→AEP3→AEP4 before global synchronization.</w:t>
            </w:r>
          </w:p>
        </w:tc>
        <w:tc>
          <w:tcPr>
            <w:tcW w:type="dxa" w:w="1728"/>
          </w:tcPr>
          <w:p>
            <w:r>
              <w:t>ALIGNED</w:t>
            </w:r>
          </w:p>
        </w:tc>
        <w:tc>
          <w:tcPr>
            <w:tcW w:type="dxa" w:w="1728"/>
          </w:tcPr>
          <w:p>
            <w:r>
              <w:t>Step 15 records deltas/conflicts only; no global rewrite.</w:t>
            </w:r>
          </w:p>
        </w:tc>
        <w:tc>
          <w:tcPr>
            <w:tcW w:type="dxa" w:w="1728"/>
          </w:tcPr>
          <w:p>
            <w:r>
              <w:t>Final global pass later.</w:t>
            </w:r>
          </w:p>
        </w:tc>
      </w:tr>
    </w:tbl>
    <w:p>
      <w:pPr>
        <w:pStyle w:val="Heading1"/>
      </w:pPr>
      <w:r>
        <w:t>4. Critical Conflict / Stale-Statement Findings</w:t>
      </w:r>
    </w:p>
    <w:p>
      <w:pPr>
        <w:pStyle w:val="ListBullet"/>
      </w:pPr>
      <w:r>
        <w:t>Current PRD wording that says live/webinar sessions are simply Event Calendar items is now stale at the semantic-authority level. It remains valid as a presentation/integration statement, but not as the definition of Learning Session authority.</w:t>
      </w:r>
    </w:p>
    <w:p>
      <w:pPr>
        <w:pStyle w:val="ListBullet"/>
      </w:pPr>
      <w:r>
        <w:t>The older Learning Session Architecture Evolution v2 contains candidate entity fields and an older flow toward Certificate. It is explicitly future/non-final context and must not be implemented literally where it conflicts with controlled AEP4 decisions.</w:t>
      </w:r>
    </w:p>
    <w:p>
      <w:pPr>
        <w:pStyle w:val="ListBullet"/>
      </w:pPr>
      <w:r>
        <w:t>Current M05 events.meeting_link is legacy generic link storage. AEP4 requires Provider Binding as the canonical provider execution association.</w:t>
      </w:r>
    </w:p>
    <w:p>
      <w:pPr>
        <w:pStyle w:val="ListBullet"/>
      </w:pPr>
      <w:r>
        <w:t>Current M05 events.quota must not become Learning Session capacity without separate evidence/decision.</w:t>
      </w:r>
    </w:p>
    <w:p>
      <w:pPr>
        <w:pStyle w:val="ListBullet"/>
      </w:pPr>
      <w:r>
        <w:t>Existing M04 Course Enrollment and M05 EventRegistration are not stale; they remain valid and must be preserved.</w:t>
      </w:r>
    </w:p>
    <w:p>
      <w:pPr>
        <w:pStyle w:val="ListBullet"/>
      </w:pPr>
      <w:r>
        <w:t>Existing RBAC Learning/Event permissions do not prove final Session Host authority. MADCR-053/054 remain the correct governance path.</w:t>
      </w:r>
    </w:p>
    <w:p>
      <w:pPr>
        <w:pStyle w:val="ListBullet"/>
      </w:pPr>
      <w:r>
        <w:t>The AEP2 boundary that Learning Session was deferred to AEP4 is consistent with the current AEP4 work; no AEP2 reopening is required.</w:t>
      </w:r>
    </w:p>
    <w:p>
      <w:pPr>
        <w:pStyle w:val="ListBullet"/>
      </w:pPr>
      <w:r>
        <w:t>Commercial/Payment and AEP3 boundaries are consistent with AEP4: session consumes outcomes/evidence but does not become payment or awarding authority.</w:t>
      </w:r>
    </w:p>
    <w:p>
      <w:pPr>
        <w:pStyle w:val="Heading1"/>
      </w:pPr>
      <w:r>
        <w:t>5. Canonical Terminology for AEP4</w:t>
      </w:r>
    </w:p>
    <w:tbl>
      <w:tblPr>
        <w:tblStyle w:val="TableGrid"/>
        <w:tblW w:type="auto" w:w="0"/>
        <w:tblLook w:firstColumn="1" w:firstRow="1" w:lastColumn="0" w:lastRow="0" w:noHBand="0" w:noVBand="1" w:val="04A0"/>
      </w:tblPr>
      <w:tblGrid>
        <w:gridCol w:w="5184"/>
        <w:gridCol w:w="5184"/>
      </w:tblGrid>
      <w:tr>
        <w:tc>
          <w:tcPr>
            <w:tcW w:type="dxa" w:w="5184"/>
          </w:tcPr>
          <w:p>
            <w:r>
              <w:t>Term</w:t>
            </w:r>
          </w:p>
        </w:tc>
        <w:tc>
          <w:tcPr>
            <w:tcW w:type="dxa" w:w="5184"/>
          </w:tcPr>
          <w:p>
            <w:r>
              <w:t>Canonical AEP4 meaning</w:t>
            </w:r>
          </w:p>
        </w:tc>
      </w:tr>
      <w:tr>
        <w:tc>
          <w:tcPr>
            <w:tcW w:type="dxa" w:w="5184"/>
          </w:tcPr>
          <w:p>
            <w:r>
              <w:t>Learning Session</w:t>
            </w:r>
          </w:p>
        </w:tc>
        <w:tc>
          <w:tcPr>
            <w:tcW w:type="dxa" w:w="5184"/>
          </w:tcPr>
          <w:p>
            <w:r>
              <w:t>Semantic session capability inside Learning; owns session identity/lifecycle.</w:t>
            </w:r>
          </w:p>
        </w:tc>
      </w:tr>
      <w:tr>
        <w:tc>
          <w:tcPr>
            <w:tcW w:type="dxa" w:w="5184"/>
          </w:tcPr>
          <w:p>
            <w:r>
              <w:t>Session Enrollment</w:t>
            </w:r>
          </w:p>
        </w:tc>
        <w:tc>
          <w:tcPr>
            <w:tcW w:type="dxa" w:w="5184"/>
          </w:tcPr>
          <w:p>
            <w:r>
              <w:t>AEP4 enrollment/access relationship; PENDING → ACTIVE → COMPLETED.</w:t>
            </w:r>
          </w:p>
        </w:tc>
      </w:tr>
      <w:tr>
        <w:tc>
          <w:tcPr>
            <w:tcW w:type="dxa" w:w="5184"/>
          </w:tcPr>
          <w:p>
            <w:r>
              <w:t>Course Enrollment</w:t>
            </w:r>
          </w:p>
        </w:tc>
        <w:tc>
          <w:tcPr>
            <w:tcW w:type="dxa" w:w="5184"/>
          </w:tcPr>
          <w:p>
            <w:r>
              <w:t>Existing M04 course relationship; unchanged.</w:t>
            </w:r>
          </w:p>
        </w:tc>
      </w:tr>
      <w:tr>
        <w:tc>
          <w:tcPr>
            <w:tcW w:type="dxa" w:w="5184"/>
          </w:tcPr>
          <w:p>
            <w:r>
              <w:t>Event Registration / RSVP</w:t>
            </w:r>
          </w:p>
        </w:tc>
        <w:tc>
          <w:tcPr>
            <w:tcW w:type="dxa" w:w="5184"/>
          </w:tcPr>
          <w:p>
            <w:r>
              <w:t>Existing M05 event relationship; unchanged.</w:t>
            </w:r>
          </w:p>
        </w:tc>
      </w:tr>
      <w:tr>
        <w:tc>
          <w:tcPr>
            <w:tcW w:type="dxa" w:w="5184"/>
          </w:tcPr>
          <w:p>
            <w:r>
              <w:t>Provider Binding</w:t>
            </w:r>
          </w:p>
        </w:tc>
        <w:tc>
          <w:tcPr>
            <w:tcW w:type="dxa" w:w="5184"/>
          </w:tcPr>
          <w:p>
            <w:r>
              <w:t>Canonical infrastructure association between Learning Session and provider execution.</w:t>
            </w:r>
          </w:p>
        </w:tc>
      </w:tr>
      <w:tr>
        <w:tc>
          <w:tcPr>
            <w:tcW w:type="dxa" w:w="5184"/>
          </w:tcPr>
          <w:p>
            <w:r>
              <w:t>Provider Session ID</w:t>
            </w:r>
          </w:p>
        </w:tc>
        <w:tc>
          <w:tcPr>
            <w:tcW w:type="dxa" w:w="5184"/>
          </w:tcPr>
          <w:p>
            <w:r>
              <w:t>External provider reference; never semantic Learning Session identity.</w:t>
            </w:r>
          </w:p>
        </w:tc>
      </w:tr>
      <w:tr>
        <w:tc>
          <w:tcPr>
            <w:tcW w:type="dxa" w:w="5184"/>
          </w:tcPr>
          <w:p>
            <w:r>
              <w:t>Participation Evidence</w:t>
            </w:r>
          </w:p>
        </w:tc>
        <w:tc>
          <w:tcPr>
            <w:tcW w:type="dxa" w:w="5184"/>
          </w:tcPr>
          <w:p>
            <w:r>
              <w:t>Normalized provider evidence; not attendance/completion authority.</w:t>
            </w:r>
          </w:p>
        </w:tc>
      </w:tr>
      <w:tr>
        <w:tc>
          <w:tcPr>
            <w:tcW w:type="dxa" w:w="5184"/>
          </w:tcPr>
          <w:p>
            <w:r>
              <w:t>Attendance Outcome</w:t>
            </w:r>
          </w:p>
        </w:tc>
        <w:tc>
          <w:tcPr>
            <w:tcW w:type="dxa" w:w="5184"/>
          </w:tcPr>
          <w:p>
            <w:r>
              <w:t>RUMAHAGEN-governed evaluation from evidence/policy.</w:t>
            </w:r>
          </w:p>
        </w:tc>
      </w:tr>
      <w:tr>
        <w:tc>
          <w:tcPr>
            <w:tcW w:type="dxa" w:w="5184"/>
          </w:tcPr>
          <w:p>
            <w:r>
              <w:t>Completion Outcome</w:t>
            </w:r>
          </w:p>
        </w:tc>
        <w:tc>
          <w:tcPr>
            <w:tcW w:type="dxa" w:w="5184"/>
          </w:tcPr>
          <w:p>
            <w:r>
              <w:t>Governed learning/session outcome; not automatically LP/credential/title.</w:t>
            </w:r>
          </w:p>
        </w:tc>
      </w:tr>
      <w:tr>
        <w:tc>
          <w:tcPr>
            <w:tcW w:type="dxa" w:w="5184"/>
          </w:tcPr>
          <w:p>
            <w:r>
              <w:t>Learning Activity</w:t>
            </w:r>
          </w:p>
        </w:tc>
        <w:tc>
          <w:tcPr>
            <w:tcW w:type="dxa" w:w="5184"/>
          </w:tcPr>
          <w:p>
            <w:r>
              <w:t>Cross-domain learning evidence boundary; final model remains subject to MADCR-049.</w:t>
            </w:r>
          </w:p>
        </w:tc>
      </w:tr>
      <w:tr>
        <w:tc>
          <w:tcPr>
            <w:tcW w:type="dxa" w:w="5184"/>
          </w:tcPr>
          <w:p>
            <w:r>
              <w:t>Award Instance / Title</w:t>
            </w:r>
          </w:p>
        </w:tc>
        <w:tc>
          <w:tcPr>
            <w:tcW w:type="dxa" w:w="5184"/>
          </w:tcPr>
          <w:p>
            <w:r>
              <w:t>AEP3 authority; not created directly by Session.</w:t>
            </w:r>
          </w:p>
        </w:tc>
      </w:tr>
    </w:tbl>
    <w:p>
      <w:pPr>
        <w:pStyle w:val="Heading1"/>
      </w:pPr>
      <w:r>
        <w:t>6. Required Controlled Updates After AEP4 Finalization</w:t>
      </w:r>
    </w:p>
    <w:p>
      <w:pPr>
        <w:pStyle w:val="ListBullet"/>
      </w:pPr>
      <w:r>
        <w:t>Current PRD: replace the semantic implication 'live/webinar = Event' with Learning Session authority plus Event Calendar integration.</w:t>
      </w:r>
    </w:p>
    <w:p>
      <w:pPr>
        <w:pStyle w:val="ListBullet"/>
      </w:pPr>
      <w:r>
        <w:t>Current User Flow: preserve Event RSVP while introducing Session Enrollment and provider access flow.</w:t>
      </w:r>
    </w:p>
    <w:p>
      <w:pPr>
        <w:pStyle w:val="ListBullet"/>
      </w:pPr>
      <w:r>
        <w:t>Current ERD/logical baseline: add approved AEP4 concepts only after final synchronization gate; no physical migration from this step.</w:t>
      </w:r>
    </w:p>
    <w:p>
      <w:pPr>
        <w:pStyle w:val="ListBullet"/>
      </w:pPr>
      <w:r>
        <w:t>Current API: preserve existing M04/M05 endpoints and add new Session APIs only after AEP4 final authorization.</w:t>
      </w:r>
    </w:p>
    <w:p>
      <w:pPr>
        <w:pStyle w:val="ListBullet"/>
      </w:pPr>
      <w:r>
        <w:t>Current RBAC: reconcile final permission IDs and Host/Instructor authority through MADCR-053/054 before implementation.</w:t>
      </w:r>
    </w:p>
    <w:p>
      <w:pPr>
        <w:pStyle w:val="ListBullet"/>
      </w:pPr>
      <w:r>
        <w:t>Current terminology/reference documents: mark the older Learning Session v2 as superseded reference for AEP4 semantics where it conflicts with controlled AEP4 decisions.</w:t>
      </w:r>
    </w:p>
    <w:p>
      <w:pPr>
        <w:pStyle w:val="ListBullet"/>
      </w:pPr>
      <w:r>
        <w:t>Learning Economy: retain MADCR-049 residual and do not finalize Learning Activity evidence solely through AEP4.</w:t>
      </w:r>
    </w:p>
    <w:p>
      <w:pPr>
        <w:pStyle w:val="ListBullet"/>
      </w:pPr>
      <w:r>
        <w:t>AEP3: retain Certificate/Credential ≠ Title/Award Instance and versioned Awarding Path/Rule semantics.</w:t>
      </w:r>
    </w:p>
    <w:p>
      <w:pPr>
        <w:pStyle w:val="Heading1"/>
      </w:pPr>
      <w:r>
        <w:t>7. No Reopening / No Silent Closure Rules</w:t>
      </w:r>
    </w:p>
    <w:p>
      <w:pPr>
        <w:pStyle w:val="ListBullet"/>
      </w:pPr>
      <w:r>
        <w:t>Do not reopen approved AEP4 OD-01..07 or OD-09..17 because of stale PRD wording.</w:t>
      </w:r>
    </w:p>
    <w:p>
      <w:pPr>
        <w:pStyle w:val="ListBullet"/>
      </w:pPr>
      <w:r>
        <w:t>Do not close OD-08 through architecture language.</w:t>
      </w:r>
    </w:p>
    <w:p>
      <w:pPr>
        <w:pStyle w:val="ListBullet"/>
      </w:pPr>
      <w:r>
        <w:t>Do not close MADCR-049 through PRD, API, ERD or code.</w:t>
      </w:r>
    </w:p>
    <w:p>
      <w:pPr>
        <w:pStyle w:val="ListBullet"/>
      </w:pPr>
      <w:r>
        <w:t>Do not close MADCR-053/054 by assuming existing Instructor/Event permissions are sufficient.</w:t>
      </w:r>
    </w:p>
    <w:p>
      <w:pPr>
        <w:pStyle w:val="ListBullet"/>
      </w:pPr>
      <w:r>
        <w:t>Do not treat provider research evidence as provider selection.</w:t>
      </w:r>
    </w:p>
    <w:p>
      <w:pPr>
        <w:pStyle w:val="ListBullet"/>
      </w:pPr>
      <w:r>
        <w:t>Do not rewrite global baseline documents before the AEP4 final gate and four-AEP synchronization.</w:t>
      </w:r>
    </w:p>
    <w:p>
      <w:pPr>
        <w:pStyle w:val="ListBullet"/>
      </w:pPr>
      <w:r>
        <w:t>Do not treat absence of a current API/RBAC artifact in a search result as proof of no conflict when exact evidence is not present; use the inspected archive evidence already established by AEP4 Step 06.</w:t>
      </w:r>
    </w:p>
    <w:p>
      <w:pPr>
        <w:pStyle w:val="Heading1"/>
      </w:pPr>
      <w:r>
        <w:t>8. Reconciliation Findings by Status</w:t>
      </w:r>
    </w:p>
    <w:p>
      <w:pPr>
        <w:pStyle w:val="ListBullet"/>
      </w:pPr>
      <w:r>
        <w:t>ALIGNED: AEP4 architecture/adapter, AEP2 Learning Economy boundary, AEP3 Awarding boundary, Commercial/Payment boundary, M04/M05 separation, AEP4 Steps 06–14 internal chain.</w:t>
      </w:r>
    </w:p>
    <w:p>
      <w:pPr>
        <w:pStyle w:val="ListBullet"/>
      </w:pPr>
      <w:r>
        <w:t>STALE / CONTROLLED DELTA: current PRD live/webinar wording, legacy M05 meeting_link semantics, older Learning Session v2 context.</w:t>
      </w:r>
    </w:p>
    <w:p>
      <w:pPr>
        <w:pStyle w:val="ListBullet"/>
      </w:pPr>
      <w:r>
        <w:t>OPEN / DEPENDENCY: Session↔Event cardinality, attendance policy, capacity, visibility taxonomy, recording policy, MADCR-049, MADCR-053/054.</w:t>
      </w:r>
    </w:p>
    <w:p>
      <w:pPr>
        <w:pStyle w:val="ListBullet"/>
      </w:pPr>
      <w:r>
        <w:t>RESEARCH REQUIRED: provider capability/auth/OAuth/plan/quota/rate/policy verification.</w:t>
      </w:r>
    </w:p>
    <w:p>
      <w:pPr>
        <w:pStyle w:val="ListBullet"/>
      </w:pPr>
      <w:r>
        <w:t>DEFERRED: physical schema/migration, global baseline rewrite, final release prioritization.</w:t>
      </w:r>
    </w:p>
    <w:p>
      <w:pPr>
        <w:pStyle w:val="Heading1"/>
      </w:pPr>
      <w:r>
        <w:t>9. Gate Assessment</w:t>
      </w:r>
    </w:p>
    <w:p>
      <w:r>
        <w:t>PASS WITH CONTROLLED DELTAS. The identified stale statements are documentation synchronization items, not reasons to reopen approved architecture. The key semantic correction is to treat Learning Session as the authority and M05 Event Calendar as integration/presentation context. The older Learning Session v2 document is explicitly non-final context and must not be used as implementation authority.</w:t>
      </w:r>
    </w:p>
    <w:p>
      <w:pPr>
        <w:pStyle w:val="Heading1"/>
      </w:pPr>
      <w:r>
        <w:t>10. Open Decision Assessment</w:t>
      </w:r>
    </w:p>
    <w:p>
      <w:r>
        <w:t>No new user decision is required. Existing open items remain: OD-08; MADCR-049; MADCR-053; MADCR-054; attendance policy; capacity; visibility; recording; Session↔Event relationship; provider capability verification.</w:t>
      </w:r>
    </w:p>
    <w:p>
      <w:pPr>
        <w:pStyle w:val="Heading1"/>
      </w:pPr>
      <w:r>
        <w:t>11. Next Step</w:t>
      </w:r>
    </w:p>
    <w:p>
      <w:r>
        <w:t>STEP 16 — AEP4 Final Synchronization Gate / Consolidated AEP4 Package. Before declaring AEP4 synchronized, produce the final consolidated decision/impact register, verify that Steps 01–15 contain no unresolved internal contradiction, record the controlled stale-document deltas, and explicitly list every residual dependency that must survive into the post-AEP4 global synchronization phase.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