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16 — Final Synchronization &amp; Consolidated AEP4 Package</w:t>
      </w:r>
    </w:p>
    <w:p>
      <w:pPr>
        <w:jc w:val="center"/>
      </w:pPr>
      <w:r>
        <w:rPr>
          <w:i/>
        </w:rPr>
        <w:t>Version 1.0 | Final AEP4 impact/governance state | Global implementation/synchronization NOT AUTHORIZED</w:t>
      </w:r>
    </w:p>
    <w:p>
      <w:pPr>
        <w:pStyle w:val="Heading1"/>
      </w:pPr>
      <w:r>
        <w:t>1. Final Gate Purpose</w:t>
      </w:r>
    </w:p>
    <w:p>
      <w:r>
        <w:t>Step 16 consolidates AEP4 Steps 01–15 into one controlled final state. It does not rewrite the global project baseline. The project Execution Lock requires AEP1 → AEP2 → AEP3 → AEP4 first, followed by Cross-AEP Consolidation, Project-Wide Technical/Governance Synchronization, and final baseline/knowledge/changelog reconciliation. fileciteturn18file18</w:t>
      </w:r>
    </w:p>
    <w:p>
      <w:r>
        <w:t>Step 15 found no contradiction requiring reopening an approved AEP4 decision; it recorded stale/controlled deltas in the current PRD, legacy M05 meeting_link semantics and older Learning Session v2 context. fileciteturn18file3</w:t>
      </w:r>
    </w:p>
    <w:p>
      <w:pPr>
        <w:pStyle w:val="Heading1"/>
      </w:pPr>
      <w:r>
        <w:t>2. FINAL AEP4 GATE RESULT</w:t>
      </w:r>
    </w:p>
    <w:p>
      <w:r>
        <w:t>STATUS: PASS — AEP #4 IMPACT / SEMANTIC SYNCHRONIZATION COMPLETE WITH CONTROLLED RESIDUALS.</w:t>
      </w:r>
    </w:p>
    <w:p>
      <w:r>
        <w:t>Interpretation: AEP4 is complete as a controlled architecture/product/engineering impact package. It is NOT equivalent to physical implementation, production provider activation, global baseline synchronization, or closure of independent governance residuals.</w:t>
      </w:r>
    </w:p>
    <w:p>
      <w:pPr>
        <w:pStyle w:val="Heading1"/>
      </w:pPr>
      <w:r>
        <w:t>3. Final Canonical Decision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Area</w:t>
            </w:r>
          </w:p>
        </w:tc>
        <w:tc>
          <w:tcPr>
            <w:tcW w:type="dxa" w:w="2592"/>
          </w:tcPr>
          <w:p>
            <w:r>
              <w:t>Canonical decision</w:t>
            </w:r>
          </w:p>
        </w:tc>
      </w:tr>
      <w:tr>
        <w:tc>
          <w:tcPr>
            <w:tcW w:type="dxa" w:w="2592"/>
          </w:tcPr>
          <w:p>
            <w:r>
              <w:t>OD-01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Session taxonomy</w:t>
            </w:r>
          </w:p>
        </w:tc>
        <w:tc>
          <w:tcPr>
            <w:tcW w:type="dxa" w:w="2592"/>
          </w:tcPr>
          <w:p>
            <w:r>
              <w:t>BROADCAST / INTERACTIVE / ON_DEMAND</w:t>
            </w:r>
          </w:p>
        </w:tc>
      </w:tr>
      <w:tr>
        <w:tc>
          <w:tcPr>
            <w:tcW w:type="dxa" w:w="2592"/>
          </w:tcPr>
          <w:p>
            <w:r>
              <w:t>OD-02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Session lifecycle</w:t>
            </w:r>
          </w:p>
        </w:tc>
        <w:tc>
          <w:tcPr>
            <w:tcW w:type="dxa" w:w="2592"/>
          </w:tcPr>
          <w:p>
            <w:r>
              <w:t>DRAFT → SCHEDULED → LIVE → ENDED; CANCELLED/FAILED exception states</w:t>
            </w:r>
          </w:p>
        </w:tc>
      </w:tr>
      <w:tr>
        <w:tc>
          <w:tcPr>
            <w:tcW w:type="dxa" w:w="2592"/>
          </w:tcPr>
          <w:p>
            <w:r>
              <w:t>OD-03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Attendance authority</w:t>
            </w:r>
          </w:p>
        </w:tc>
        <w:tc>
          <w:tcPr>
            <w:tcW w:type="dxa" w:w="2592"/>
          </w:tcPr>
          <w:p>
            <w:r>
              <w:t>Provider participation is evidence; RUMAHAGEN owns attendance business state</w:t>
            </w:r>
          </w:p>
        </w:tc>
      </w:tr>
      <w:tr>
        <w:tc>
          <w:tcPr>
            <w:tcW w:type="dxa" w:w="2592"/>
          </w:tcPr>
          <w:p>
            <w:r>
              <w:t>OD-04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Completion authority</w:t>
            </w:r>
          </w:p>
        </w:tc>
        <w:tc>
          <w:tcPr>
            <w:tcW w:type="dxa" w:w="2592"/>
          </w:tcPr>
          <w:p>
            <w:r>
              <w:t>Governed completion policy consumes normalized evidence; provider cannot directly establish completion</w:t>
            </w:r>
          </w:p>
        </w:tc>
      </w:tr>
      <w:tr>
        <w:tc>
          <w:tcPr>
            <w:tcW w:type="dxa" w:w="2592"/>
          </w:tcPr>
          <w:p>
            <w:r>
              <w:t>OD-05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Attendance configurability</w:t>
            </w:r>
          </w:p>
        </w:tc>
        <w:tc>
          <w:tcPr>
            <w:tcW w:type="dxa" w:w="2592"/>
          </w:tcPr>
          <w:p>
            <w:r>
              <w:t>Attendance policy parameters are configurable; exact values downstream</w:t>
            </w:r>
          </w:p>
        </w:tc>
      </w:tr>
      <w:tr>
        <w:tc>
          <w:tcPr>
            <w:tcW w:type="dxa" w:w="2592"/>
          </w:tcPr>
          <w:p>
            <w:r>
              <w:t>OD-06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Learning Activity linkage</w:t>
            </w:r>
          </w:p>
        </w:tc>
        <w:tc>
          <w:tcPr>
            <w:tcW w:type="dxa" w:w="2592"/>
          </w:tcPr>
          <w:p>
            <w:r>
              <w:t>Qualifying completion feeds Learning Activity; Learning Economy owns LP processing</w:t>
            </w:r>
          </w:p>
        </w:tc>
      </w:tr>
      <w:tr>
        <w:tc>
          <w:tcPr>
            <w:tcW w:type="dxa" w:w="2592"/>
          </w:tcPr>
          <w:p>
            <w:r>
              <w:t>OD-07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Provider switching</w:t>
            </w:r>
          </w:p>
        </w:tc>
        <w:tc>
          <w:tcPr>
            <w:tcW w:type="dxa" w:w="2592"/>
          </w:tcPr>
          <w:p>
            <w:r>
              <w:t>Provider change preserves semantic session identity/history/enrollment/evidence/outcome</w:t>
            </w:r>
          </w:p>
        </w:tc>
      </w:tr>
      <w:tr>
        <w:tc>
          <w:tcPr>
            <w:tcW w:type="dxa" w:w="2592"/>
          </w:tcPr>
          <w:p>
            <w:r>
              <w:t>OD-08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Automatic failover</w:t>
            </w:r>
          </w:p>
        </w:tc>
        <w:tc>
          <w:tcPr>
            <w:tcW w:type="dxa" w:w="2592"/>
          </w:tcPr>
          <w:p>
            <w:r>
              <w:t>Not locked; requires provider capability and technical/operational verification</w:t>
            </w:r>
          </w:p>
        </w:tc>
      </w:tr>
      <w:tr>
        <w:tc>
          <w:tcPr>
            <w:tcW w:type="dxa" w:w="2592"/>
          </w:tcPr>
          <w:p>
            <w:r>
              <w:t>OD-09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Optional session artifact/reference; separate from attendance/completion; may support ON_DEMAND</w:t>
            </w:r>
          </w:p>
        </w:tc>
      </w:tr>
      <w:tr>
        <w:tc>
          <w:tcPr>
            <w:tcW w:type="dxa" w:w="2592"/>
          </w:tcPr>
          <w:p>
            <w:r>
              <w:t>OD-10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Provider set</w:t>
            </w:r>
          </w:p>
        </w:tc>
        <w:tc>
          <w:tcPr>
            <w:tcW w:type="dxa" w:w="2592"/>
          </w:tcPr>
          <w:p>
            <w:r>
              <w:t>Provider-agnostic architecture; exact supported providers require verification</w:t>
            </w:r>
          </w:p>
        </w:tc>
      </w:tr>
      <w:tr>
        <w:tc>
          <w:tcPr>
            <w:tcW w:type="dxa" w:w="2592"/>
          </w:tcPr>
          <w:p>
            <w:r>
              <w:t>OD-11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Provider priority</w:t>
            </w:r>
          </w:p>
        </w:tc>
        <w:tc>
          <w:tcPr>
            <w:tcW w:type="dxa" w:w="2592"/>
          </w:tcPr>
          <w:p>
            <w:r>
              <w:t>No universal provider ranking/priority</w:t>
            </w:r>
          </w:p>
        </w:tc>
      </w:tr>
      <w:tr>
        <w:tc>
          <w:tcPr>
            <w:tcW w:type="dxa" w:w="2592"/>
          </w:tcPr>
          <w:p>
            <w:r>
              <w:t>OD-12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AI role</w:t>
            </w:r>
          </w:p>
        </w:tc>
        <w:tc>
          <w:tcPr>
            <w:tcW w:type="dxa" w:w="2592"/>
          </w:tcPr>
          <w:p>
            <w:r>
              <w:t>Assistive only; never authority for attendance/completion/LP/competency/credential/Title-Award</w:t>
            </w:r>
          </w:p>
        </w:tc>
      </w:tr>
      <w:tr>
        <w:tc>
          <w:tcPr>
            <w:tcW w:type="dxa" w:w="2592"/>
          </w:tcPr>
          <w:p>
            <w:r>
              <w:t>OD-13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Commercial/payment</w:t>
            </w:r>
          </w:p>
        </w:tc>
        <w:tc>
          <w:tcPr>
            <w:tcW w:type="dxa" w:w="2592"/>
          </w:tcPr>
          <w:p>
            <w:r>
              <w:t>Paid access consumes Commercial/Payment outcomes; payment/pricing/entitlement remain outside Learning Session</w:t>
            </w:r>
          </w:p>
        </w:tc>
      </w:tr>
      <w:tr>
        <w:tc>
          <w:tcPr>
            <w:tcW w:type="dxa" w:w="2592"/>
          </w:tcPr>
          <w:p>
            <w:r>
              <w:t>OD-14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Workspace context</w:t>
            </w:r>
          </w:p>
        </w:tc>
        <w:tc>
          <w:tcPr>
            <w:tcW w:type="dxa" w:w="2592"/>
          </w:tcPr>
          <w:p>
            <w:r>
              <w:t>Workspace/org context when applicable; authority/cardinality downstream</w:t>
            </w:r>
          </w:p>
        </w:tc>
      </w:tr>
      <w:tr>
        <w:tc>
          <w:tcPr>
            <w:tcW w:type="dxa" w:w="2592"/>
          </w:tcPr>
          <w:p>
            <w:r>
              <w:t>OD-15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Visibility</w:t>
            </w:r>
          </w:p>
        </w:tc>
        <w:tc>
          <w:tcPr>
            <w:tcW w:type="dxa" w:w="2592"/>
          </w:tcPr>
          <w:p>
            <w:r>
              <w:t>Semantic visibility/access scope; exact authorization downstream</w:t>
            </w:r>
          </w:p>
        </w:tc>
      </w:tr>
      <w:tr>
        <w:tc>
          <w:tcPr>
            <w:tcW w:type="dxa" w:w="2592"/>
          </w:tcPr>
          <w:p>
            <w:r>
              <w:t>OD-16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Enrollment/access lifecycle</w:t>
            </w:r>
          </w:p>
        </w:tc>
        <w:tc>
          <w:tcPr>
            <w:tcW w:type="dxa" w:w="2592"/>
          </w:tcPr>
          <w:p>
            <w:r>
              <w:t>Enrollment separates request from active access; canonical direction PENDING → ACTIVE</w:t>
            </w:r>
          </w:p>
        </w:tc>
      </w:tr>
      <w:tr>
        <w:tc>
          <w:tcPr>
            <w:tcW w:type="dxa" w:w="2592"/>
          </w:tcPr>
          <w:p>
            <w:r>
              <w:t>OD-17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Enrollment completion</w:t>
            </w:r>
          </w:p>
        </w:tc>
        <w:tc>
          <w:tcPr>
            <w:tcW w:type="dxa" w:w="2592"/>
          </w:tcPr>
          <w:p>
            <w:r>
              <w:t>PENDING → ACTIVE → COMPLETED; COMPLETED is governed historical enrollment outcome</w:t>
            </w:r>
          </w:p>
        </w:tc>
      </w:tr>
    </w:tbl>
    <w:p>
      <w:pPr>
        <w:pStyle w:val="Heading1"/>
      </w:pPr>
      <w:r>
        <w:t>4. Canonical AEP4 Semantic State</w:t>
      </w:r>
    </w:p>
    <w:p>
      <w:pPr>
        <w:pStyle w:val="ListBullet"/>
      </w:pPr>
      <w:r>
        <w:t>Learning Session is a capability inside the Learning domain, not a new top-level domain.</w:t>
      </w:r>
    </w:p>
    <w:p>
      <w:pPr>
        <w:pStyle w:val="ListBullet"/>
      </w:pPr>
      <w:r>
        <w:t>Session lifecycle is DRAFT → SCHEDULED → LIVE → ENDED, with CANCELLED/FAILED as exception states.</w:t>
      </w:r>
    </w:p>
    <w:p>
      <w:pPr>
        <w:pStyle w:val="ListBullet"/>
      </w:pPr>
      <w:r>
        <w:t>Session Enrollment is separate from Course Enrollment and Event Registration.</w:t>
      </w:r>
    </w:p>
    <w:p>
      <w:pPr>
        <w:pStyle w:val="ListBullet"/>
      </w:pPr>
      <w:r>
        <w:t>Enrollment semantic direction is PENDING → ACTIVE; completion extends it to COMPLETED as a governed historical enrollment outcome.</w:t>
      </w:r>
    </w:p>
    <w:p>
      <w:pPr>
        <w:pStyle w:val="ListBullet"/>
      </w:pPr>
      <w:r>
        <w:t>Provider Binding is the infrastructure association between semantic Learning Session and provider execution.</w:t>
      </w:r>
    </w:p>
    <w:p>
      <w:pPr>
        <w:pStyle w:val="ListBullet"/>
      </w:pPr>
      <w:r>
        <w:t>Provider participation is evidence; RUMAHAGEN evaluates attendance and completion.</w:t>
      </w:r>
    </w:p>
    <w:p>
      <w:pPr>
        <w:pStyle w:val="ListBullet"/>
      </w:pPr>
      <w:r>
        <w:t>Recording is an optional artifact/reference, separate from attendance/completion authority.</w:t>
      </w:r>
    </w:p>
    <w:p>
      <w:pPr>
        <w:pStyle w:val="ListBullet"/>
      </w:pPr>
      <w:r>
        <w:t>Commercial/Payment remains the authority for pricing/payment/entitlement/fulfillment; Learning consumes the resulting access outcome.</w:t>
      </w:r>
    </w:p>
    <w:p>
      <w:pPr>
        <w:pStyle w:val="ListBullet"/>
      </w:pPr>
      <w:r>
        <w:t>Learning Economy remains authority for LP processing; session completion does not directly issue LP.</w:t>
      </w:r>
    </w:p>
    <w:p>
      <w:pPr>
        <w:pStyle w:val="ListBullet"/>
      </w:pPr>
      <w:r>
        <w:t>Assessment, Credential/Certificate and AEP3 Title/Awarding remain separate authorities.</w:t>
      </w:r>
    </w:p>
    <w:p>
      <w:pPr>
        <w:pStyle w:val="ListBullet"/>
      </w:pPr>
      <w:r>
        <w:t>AI is assistive only.</w:t>
      </w:r>
    </w:p>
    <w:p>
      <w:pPr>
        <w:pStyle w:val="ListBullet"/>
      </w:pPr>
      <w:r>
        <w:t>Visibility is semantic access scope; RBAC/authorization remains the enforcement layer.</w:t>
      </w:r>
    </w:p>
    <w:p>
      <w:pPr>
        <w:pStyle w:val="ListBullet"/>
      </w:pPr>
      <w:r>
        <w:t>Provider-agnostic architecture is locked; exact provider capability/contract verification remains required.</w:t>
      </w:r>
    </w:p>
    <w:p>
      <w:pPr>
        <w:pStyle w:val="ListBullet"/>
      </w:pPr>
      <w:r>
        <w:t>Provider switching preserves semantic session identity/history; automatic failover remains open.</w:t>
      </w:r>
    </w:p>
    <w:p>
      <w:pPr>
        <w:pStyle w:val="Heading1"/>
      </w:pPr>
      <w:r>
        <w:t>5. Lifecycle Canonicalization</w:t>
      </w:r>
    </w:p>
    <w:p>
      <w:r>
        <w:t>SESSION LIFECYCLE: DRAFT → SCHEDULED → LIVE → ENDED; CANCELLED / FAILED are exception states.</w:t>
      </w:r>
    </w:p>
    <w:p>
      <w:r>
        <w:t>ENROLLMENT LIFECYCLE: PENDING → ACTIVE → COMPLETED.</w:t>
      </w:r>
    </w:p>
    <w:p>
      <w:r>
        <w:t>PENDING = enrollment/access request awaiting activation; ACTIVE = access granted under applicable entitlement/authorization; COMPLETED = governed historical enrollment outcome. Payment success is not itself the definition of ACTIVE; free entitlement may activate without payment. fileciteturn18file14turn17file7</w:t>
      </w:r>
    </w:p>
    <w:p>
      <w:pPr>
        <w:pStyle w:val="Heading1"/>
      </w:pPr>
      <w:r>
        <w:t>6. Evidence / Outcome Boundary</w:t>
      </w:r>
    </w:p>
    <w:p>
      <w:r>
        <w:t>Provider event → validation/integrity → normalization → idempotency → correlation → Participation Evidence → Attendance Evaluation → Completion Policy → Learning Activity handoff.</w:t>
      </w:r>
    </w:p>
    <w:p>
      <w:r>
        <w:t>The following are explicitly distinct: Provider Session ID ≠ Learning Session ID; Participation Evidence ≠ Attendance Outcome; Attendance Outcome ≠ Completion Outcome; Completion Outcome ≠ LP transaction; Completion Outcome ≠ Competency/Credential/Title; Recording ≠ attendance/completion authority. fileciteturn18file16</w:t>
      </w:r>
    </w:p>
    <w:p>
      <w:pPr>
        <w:pStyle w:val="Heading1"/>
      </w:pPr>
      <w:r>
        <w:t>7. Cross-AEP Authority Preservation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Authority / domain</w:t>
            </w:r>
          </w:p>
        </w:tc>
        <w:tc>
          <w:tcPr>
            <w:tcW w:type="dxa" w:w="5184"/>
          </w:tcPr>
          <w:p>
            <w:r>
              <w:t>Final AEP4 treatment</w:t>
            </w:r>
          </w:p>
        </w:tc>
      </w:tr>
      <w:tr>
        <w:tc>
          <w:tcPr>
            <w:tcW w:type="dxa" w:w="5184"/>
          </w:tcPr>
          <w:p>
            <w:r>
              <w:t>AEP #1 — Commercial/Payment</w:t>
            </w:r>
          </w:p>
        </w:tc>
        <w:tc>
          <w:tcPr>
            <w:tcW w:type="dxa" w:w="5184"/>
          </w:tcPr>
          <w:p>
            <w:r>
              <w:t>Paid Session access consumes Commercial/Payment outcomes; no duplicate payment authority.</w:t>
            </w:r>
          </w:p>
        </w:tc>
      </w:tr>
      <w:tr>
        <w:tc>
          <w:tcPr>
            <w:tcW w:type="dxa" w:w="5184"/>
          </w:tcPr>
          <w:p>
            <w:r>
              <w:t>AEP #2 — Learning Economy</w:t>
            </w:r>
          </w:p>
        </w:tc>
        <w:tc>
          <w:tcPr>
            <w:tcW w:type="dxa" w:w="5184"/>
          </w:tcPr>
          <w:p>
            <w:r>
              <w:t>Qualifying completion may feed Learning Activity; Learning Economy owns LP processing; MADCR-049 remains external residual.</w:t>
            </w:r>
          </w:p>
        </w:tc>
      </w:tr>
      <w:tr>
        <w:tc>
          <w:tcPr>
            <w:tcW w:type="dxa" w:w="5184"/>
          </w:tcPr>
          <w:p>
            <w:r>
              <w:t>AEP #3 — Title/Awarding</w:t>
            </w:r>
          </w:p>
        </w:tc>
        <w:tc>
          <w:tcPr>
            <w:tcW w:type="dxa" w:w="5184"/>
          </w:tcPr>
          <w:p>
            <w:r>
              <w:t>Session completion/evidence does not bypass Assessment, Credential/Certificate or Awarding; Title/Award Instance remains separate.</w:t>
            </w:r>
          </w:p>
        </w:tc>
      </w:tr>
      <w:tr>
        <w:tc>
          <w:tcPr>
            <w:tcW w:type="dxa" w:w="5184"/>
          </w:tcPr>
          <w:p>
            <w:r>
              <w:t>Existing M04</w:t>
            </w:r>
          </w:p>
        </w:tc>
        <w:tc>
          <w:tcPr>
            <w:tcW w:type="dxa" w:w="5184"/>
          </w:tcPr>
          <w:p>
            <w:r>
              <w:t>Course Enrollment and existing course/assessment/certificate flow remain separate.</w:t>
            </w:r>
          </w:p>
        </w:tc>
      </w:tr>
      <w:tr>
        <w:tc>
          <w:tcPr>
            <w:tcW w:type="dxa" w:w="5184"/>
          </w:tcPr>
          <w:p>
            <w:r>
              <w:t>Existing M05</w:t>
            </w:r>
          </w:p>
        </w:tc>
        <w:tc>
          <w:tcPr>
            <w:tcW w:type="dxa" w:w="5184"/>
          </w:tcPr>
          <w:p>
            <w:r>
              <w:t>Event Registration/RSVP remains separate; Event Calendar is integration/presentation context.</w:t>
            </w:r>
          </w:p>
        </w:tc>
      </w:tr>
      <w:tr>
        <w:tc>
          <w:tcPr>
            <w:tcW w:type="dxa" w:w="5184"/>
          </w:tcPr>
          <w:p>
            <w:r>
              <w:t>RBAC / Authorization</w:t>
            </w:r>
          </w:p>
        </w:tc>
        <w:tc>
          <w:tcPr>
            <w:tcW w:type="dxa" w:w="5184"/>
          </w:tcPr>
          <w:p>
            <w:r>
              <w:t>Semantic visibility/access scope is defined; final permission/Host taxonomy remains governed by MADCR-053/054.</w:t>
            </w:r>
          </w:p>
        </w:tc>
      </w:tr>
    </w:tbl>
    <w:p>
      <w:pPr>
        <w:pStyle w:val="Heading1"/>
      </w:pPr>
      <w:r>
        <w:t>8. Residual Dependency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Dependency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Treatment</w:t>
            </w:r>
          </w:p>
        </w:tc>
        <w:tc>
          <w:tcPr>
            <w:tcW w:type="dxa" w:w="2074"/>
          </w:tcPr>
          <w:p>
            <w:r>
              <w:t>Next owner/governance</w:t>
            </w:r>
          </w:p>
        </w:tc>
      </w:tr>
      <w:tr>
        <w:tc>
          <w:tcPr>
            <w:tcW w:type="dxa" w:w="2074"/>
          </w:tcPr>
          <w:p>
            <w:r>
              <w:t>R-01</w:t>
            </w:r>
          </w:p>
        </w:tc>
        <w:tc>
          <w:tcPr>
            <w:tcW w:type="dxa" w:w="2074"/>
          </w:tcPr>
          <w:p>
            <w:r>
              <w:t>OD-08 Automatic provider failover</w:t>
            </w:r>
          </w:p>
        </w:tc>
        <w:tc>
          <w:tcPr>
            <w:tcW w:type="dxa" w:w="2074"/>
          </w:tcPr>
          <w:p>
            <w:r>
              <w:t>OPEN / DEFERRED</w:t>
            </w:r>
          </w:p>
        </w:tc>
        <w:tc>
          <w:tcPr>
            <w:tcW w:type="dxa" w:w="2074"/>
          </w:tcPr>
          <w:p>
            <w:r>
              <w:t>Do not make automatic failover mandatory; retain controlled/manual provider switching continuity.</w:t>
            </w:r>
          </w:p>
        </w:tc>
        <w:tc>
          <w:tcPr>
            <w:tcW w:type="dxa" w:w="2074"/>
          </w:tcPr>
          <w:p>
            <w:r>
              <w:t>Provider verification / later ADR</w:t>
            </w:r>
          </w:p>
        </w:tc>
      </w:tr>
      <w:tr>
        <w:tc>
          <w:tcPr>
            <w:tcW w:type="dxa" w:w="2074"/>
          </w:tcPr>
          <w:p>
            <w:r>
              <w:t>R-02</w:t>
            </w:r>
          </w:p>
        </w:tc>
        <w:tc>
          <w:tcPr>
            <w:tcW w:type="dxa" w:w="2074"/>
          </w:tcPr>
          <w:p>
            <w:r>
              <w:t>MADCR-049 Learning Activity evidence model</w:t>
            </w:r>
          </w:p>
        </w:tc>
        <w:tc>
          <w:tcPr>
            <w:tcW w:type="dxa" w:w="2074"/>
          </w:tcPr>
          <w:p>
            <w:r>
              <w:t>OPEN / RE-EVALUATION</w:t>
            </w:r>
          </w:p>
        </w:tc>
        <w:tc>
          <w:tcPr>
            <w:tcW w:type="dxa" w:w="2074"/>
          </w:tcPr>
          <w:p>
            <w:r>
              <w:t>AEP4 may define the handoff boundary but must not close or invent final evidence semantics.</w:t>
            </w:r>
          </w:p>
        </w:tc>
        <w:tc>
          <w:tcPr>
            <w:tcW w:type="dxa" w:w="2074"/>
          </w:tcPr>
          <w:p>
            <w:r>
              <w:t>Independent MADCR governance</w:t>
            </w:r>
          </w:p>
        </w:tc>
      </w:tr>
      <w:tr>
        <w:tc>
          <w:tcPr>
            <w:tcW w:type="dxa" w:w="2074"/>
          </w:tcPr>
          <w:p>
            <w:r>
              <w:t>R-03</w:t>
            </w:r>
          </w:p>
        </w:tc>
        <w:tc>
          <w:tcPr>
            <w:tcW w:type="dxa" w:w="2074"/>
          </w:tcPr>
          <w:p>
            <w:r>
              <w:t>MADCR-053 Cross-domain permission taxonomy</w:t>
            </w:r>
          </w:p>
        </w:tc>
        <w:tc>
          <w:tcPr>
            <w:tcW w:type="dxa" w:w="2074"/>
          </w:tcPr>
          <w:p>
            <w:r>
              <w:t>OPEN / BLOCKED</w:t>
            </w:r>
          </w:p>
        </w:tc>
        <w:tc>
          <w:tcPr>
            <w:tcW w:type="dxa" w:w="2074"/>
          </w:tcPr>
          <w:p>
            <w:r>
              <w:t>No final AEP4 permission IDs; reconcile in authorization governance.</w:t>
            </w:r>
          </w:p>
        </w:tc>
        <w:tc>
          <w:tcPr>
            <w:tcW w:type="dxa" w:w="2074"/>
          </w:tcPr>
          <w:p>
            <w:r>
              <w:t>Authorization governance</w:t>
            </w:r>
          </w:p>
        </w:tc>
      </w:tr>
      <w:tr>
        <w:tc>
          <w:tcPr>
            <w:tcW w:type="dxa" w:w="2074"/>
          </w:tcPr>
          <w:p>
            <w:r>
              <w:t>R-04</w:t>
            </w:r>
          </w:p>
        </w:tc>
        <w:tc>
          <w:tcPr>
            <w:tcW w:type="dxa" w:w="2074"/>
          </w:tcPr>
          <w:p>
            <w:r>
              <w:t>MADCR-054 Host / Instructor authorization</w:t>
            </w:r>
          </w:p>
        </w:tc>
        <w:tc>
          <w:tcPr>
            <w:tcW w:type="dxa" w:w="2074"/>
          </w:tcPr>
          <w:p>
            <w:r>
              <w:t>OPEN / BLOCKED</w:t>
            </w:r>
          </w:p>
        </w:tc>
        <w:tc>
          <w:tcPr>
            <w:tcW w:type="dxa" w:w="2074"/>
          </w:tcPr>
          <w:p>
            <w:r>
              <w:t>Do not infer Instructor = Host.</w:t>
            </w:r>
          </w:p>
        </w:tc>
        <w:tc>
          <w:tcPr>
            <w:tcW w:type="dxa" w:w="2074"/>
          </w:tcPr>
          <w:p>
            <w:r>
              <w:t>Authorization governance</w:t>
            </w:r>
          </w:p>
        </w:tc>
      </w:tr>
      <w:tr>
        <w:tc>
          <w:tcPr>
            <w:tcW w:type="dxa" w:w="2074"/>
          </w:tcPr>
          <w:p>
            <w:r>
              <w:t>R-05</w:t>
            </w:r>
          </w:p>
        </w:tc>
        <w:tc>
          <w:tcPr>
            <w:tcW w:type="dxa" w:w="2074"/>
          </w:tcPr>
          <w:p>
            <w:r>
              <w:t>Attendance formula / exceptions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Late join, early leave, grace, override and exact thresholds remain Business Rule/Configuration work.</w:t>
            </w:r>
          </w:p>
        </w:tc>
        <w:tc>
          <w:tcPr>
            <w:tcW w:type="dxa" w:w="2074"/>
          </w:tcPr>
          <w:p>
            <w:r>
              <w:t>Learning Business Rules / Configuration</w:t>
            </w:r>
          </w:p>
        </w:tc>
      </w:tr>
      <w:tr>
        <w:tc>
          <w:tcPr>
            <w:tcW w:type="dxa" w:w="2074"/>
          </w:tcPr>
          <w:p>
            <w:r>
              <w:t>R-06</w:t>
            </w:r>
          </w:p>
        </w:tc>
        <w:tc>
          <w:tcPr>
            <w:tcW w:type="dxa" w:w="2074"/>
          </w:tcPr>
          <w:p>
            <w:r>
              <w:t>Session capacity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Do not promote M05 events.quota to canonical Session capacity.</w:t>
            </w:r>
          </w:p>
        </w:tc>
        <w:tc>
          <w:tcPr>
            <w:tcW w:type="dxa" w:w="2074"/>
          </w:tcPr>
          <w:p>
            <w:r>
              <w:t>Business/provider evidence</w:t>
            </w:r>
          </w:p>
        </w:tc>
      </w:tr>
      <w:tr>
        <w:tc>
          <w:tcPr>
            <w:tcW w:type="dxa" w:w="2074"/>
          </w:tcPr>
          <w:p>
            <w:r>
              <w:t>R-07</w:t>
            </w:r>
          </w:p>
        </w:tc>
        <w:tc>
          <w:tcPr>
            <w:tcW w:type="dxa" w:w="2074"/>
          </w:tcPr>
          <w:p>
            <w:r>
              <w:t>Visibility taxonomy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Semantic visibility is approved; final scope values remain downstream.</w:t>
            </w:r>
          </w:p>
        </w:tc>
        <w:tc>
          <w:tcPr>
            <w:tcW w:type="dxa" w:w="2074"/>
          </w:tcPr>
          <w:p>
            <w:r>
              <w:t>Learning/Authorization design</w:t>
            </w:r>
          </w:p>
        </w:tc>
      </w:tr>
      <w:tr>
        <w:tc>
          <w:tcPr>
            <w:tcW w:type="dxa" w:w="2074"/>
          </w:tcPr>
          <w:p>
            <w:r>
              <w:t>R-08</w:t>
            </w:r>
          </w:p>
        </w:tc>
        <w:tc>
          <w:tcPr>
            <w:tcW w:type="dxa" w:w="2074"/>
          </w:tcPr>
          <w:p>
            <w:r>
              <w:t>Session ↔ Event relationship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Event Calendar remains integration/presentation context; exact cardinality only when schema/API requires it.</w:t>
            </w:r>
          </w:p>
        </w:tc>
        <w:tc>
          <w:tcPr>
            <w:tcW w:type="dxa" w:w="2074"/>
          </w:tcPr>
          <w:p>
            <w:r>
              <w:t>Schema/API downstream</w:t>
            </w:r>
          </w:p>
        </w:tc>
      </w:tr>
      <w:tr>
        <w:tc>
          <w:tcPr>
            <w:tcW w:type="dxa" w:w="2074"/>
          </w:tcPr>
          <w:p>
            <w:r>
              <w:t>R-09</w:t>
            </w:r>
          </w:p>
        </w:tc>
        <w:tc>
          <w:tcPr>
            <w:tcW w:type="dxa" w:w="2074"/>
          </w:tcPr>
          <w:p>
            <w:r>
              <w:t>Provider capability/contracts</w:t>
            </w:r>
          </w:p>
        </w:tc>
        <w:tc>
          <w:tcPr>
            <w:tcW w:type="dxa" w:w="2074"/>
          </w:tcPr>
          <w:p>
            <w:r>
              <w:t>RESEARCH REQUIRED</w:t>
            </w:r>
          </w:p>
        </w:tc>
        <w:tc>
          <w:tcPr>
            <w:tcW w:type="dxa" w:w="2074"/>
          </w:tcPr>
          <w:p>
            <w:r>
              <w:t>Verify provider APIs, OAuth, events, quotas, plans, rate limits, pricing and policy before production binding.</w:t>
            </w:r>
          </w:p>
        </w:tc>
        <w:tc>
          <w:tcPr>
            <w:tcW w:type="dxa" w:w="2074"/>
          </w:tcPr>
          <w:p>
            <w:r>
              <w:t>Provider verification</w:t>
            </w:r>
          </w:p>
        </w:tc>
      </w:tr>
      <w:tr>
        <w:tc>
          <w:tcPr>
            <w:tcW w:type="dxa" w:w="2074"/>
          </w:tcPr>
          <w:p>
            <w:r>
              <w:t>R-10</w:t>
            </w:r>
          </w:p>
        </w:tc>
        <w:tc>
          <w:tcPr>
            <w:tcW w:type="dxa" w:w="2074"/>
          </w:tcPr>
          <w:p>
            <w:r>
              <w:t>Recording policy</w:t>
            </w:r>
          </w:p>
        </w:tc>
        <w:tc>
          <w:tcPr>
            <w:tcW w:type="dxa" w:w="2074"/>
          </w:tcPr>
          <w:p>
            <w:r>
              <w:t>OPEN</w:t>
            </w:r>
          </w:p>
        </w:tc>
        <w:tc>
          <w:tcPr>
            <w:tcW w:type="dxa" w:w="2074"/>
          </w:tcPr>
          <w:p>
            <w:r>
              <w:t>Retention/privacy/transcript/replay remain media/operational design.</w:t>
            </w:r>
          </w:p>
        </w:tc>
        <w:tc>
          <w:tcPr>
            <w:tcW w:type="dxa" w:w="2074"/>
          </w:tcPr>
          <w:p>
            <w:r>
              <w:t>Media/operational design</w:t>
            </w:r>
          </w:p>
        </w:tc>
      </w:tr>
      <w:tr>
        <w:tc>
          <w:tcPr>
            <w:tcW w:type="dxa" w:w="2074"/>
          </w:tcPr>
          <w:p>
            <w:r>
              <w:t>R-11</w:t>
            </w:r>
          </w:p>
        </w:tc>
        <w:tc>
          <w:tcPr>
            <w:tcW w:type="dxa" w:w="2074"/>
          </w:tcPr>
          <w:p>
            <w:r>
              <w:t>Exact API/event contracts</w:t>
            </w:r>
          </w:p>
        </w:tc>
        <w:tc>
          <w:tcPr>
            <w:tcW w:type="dxa" w:w="2074"/>
          </w:tcPr>
          <w:p>
            <w:r>
              <w:t>DOWNSTREAM</w:t>
            </w:r>
          </w:p>
        </w:tc>
        <w:tc>
          <w:tcPr>
            <w:tcW w:type="dxa" w:w="2074"/>
          </w:tcPr>
          <w:p>
            <w:r>
              <w:t>Provider-neutral semantic contract is locked; exact payloads remain downstream.</w:t>
            </w:r>
          </w:p>
        </w:tc>
        <w:tc>
          <w:tcPr>
            <w:tcW w:type="dxa" w:w="2074"/>
          </w:tcPr>
          <w:p>
            <w:r>
              <w:t>API/provider adapter</w:t>
            </w:r>
          </w:p>
        </w:tc>
      </w:tr>
      <w:tr>
        <w:tc>
          <w:tcPr>
            <w:tcW w:type="dxa" w:w="2074"/>
          </w:tcPr>
          <w:p>
            <w:r>
              <w:t>R-12</w:t>
            </w:r>
          </w:p>
        </w:tc>
        <w:tc>
          <w:tcPr>
            <w:tcW w:type="dxa" w:w="2074"/>
          </w:tcPr>
          <w:p>
            <w:r>
              <w:t>Physical schema/migration</w:t>
            </w:r>
          </w:p>
        </w:tc>
        <w:tc>
          <w:tcPr>
            <w:tcW w:type="dxa" w:w="2074"/>
          </w:tcPr>
          <w:p>
            <w:r>
              <w:t>DEFERRED</w:t>
            </w:r>
          </w:p>
        </w:tc>
        <w:tc>
          <w:tcPr>
            <w:tcW w:type="dxa" w:w="2074"/>
          </w:tcPr>
          <w:p>
            <w:r>
              <w:t>No physical tables/columns/FKs/indexes/migrations are authorized by AEP4 final package.</w:t>
            </w:r>
          </w:p>
        </w:tc>
        <w:tc>
          <w:tcPr>
            <w:tcW w:type="dxa" w:w="2074"/>
          </w:tcPr>
          <w:p>
            <w:r>
              <w:t>Post-AEP4 technical sync</w:t>
            </w:r>
          </w:p>
        </w:tc>
      </w:tr>
      <w:tr>
        <w:tc>
          <w:tcPr>
            <w:tcW w:type="dxa" w:w="2074"/>
          </w:tcPr>
          <w:p>
            <w:r>
              <w:t>R-13</w:t>
            </w:r>
          </w:p>
        </w:tc>
        <w:tc>
          <w:tcPr>
            <w:tcW w:type="dxa" w:w="2074"/>
          </w:tcPr>
          <w:p>
            <w:r>
              <w:t>Final PRD/UI/release detail</w:t>
            </w:r>
          </w:p>
        </w:tc>
        <w:tc>
          <w:tcPr>
            <w:tcW w:type="dxa" w:w="2074"/>
          </w:tcPr>
          <w:p>
            <w:r>
              <w:t>DEFERRED</w:t>
            </w:r>
          </w:p>
        </w:tc>
        <w:tc>
          <w:tcPr>
            <w:tcW w:type="dxa" w:w="2074"/>
          </w:tcPr>
          <w:p>
            <w:r>
              <w:t>Global PRD/UI/release synchronization follows cross-AEP completion.</w:t>
            </w:r>
          </w:p>
        </w:tc>
        <w:tc>
          <w:tcPr>
            <w:tcW w:type="dxa" w:w="2074"/>
          </w:tcPr>
          <w:p>
            <w:r>
              <w:t>Post-AEP4 product sync</w:t>
            </w:r>
          </w:p>
        </w:tc>
      </w:tr>
      <w:tr>
        <w:tc>
          <w:tcPr>
            <w:tcW w:type="dxa" w:w="2074"/>
          </w:tcPr>
          <w:p>
            <w:r>
              <w:t>R-14</w:t>
            </w:r>
          </w:p>
        </w:tc>
        <w:tc>
          <w:tcPr>
            <w:tcW w:type="dxa" w:w="2074"/>
          </w:tcPr>
          <w:p>
            <w:r>
              <w:t>Legacy Learning Session v2</w:t>
            </w:r>
          </w:p>
        </w:tc>
        <w:tc>
          <w:tcPr>
            <w:tcW w:type="dxa" w:w="2074"/>
          </w:tcPr>
          <w:p>
            <w:r>
              <w:t>STALE / NON-NORMATIVE</w:t>
            </w:r>
          </w:p>
        </w:tc>
        <w:tc>
          <w:tcPr>
            <w:tcW w:type="dxa" w:w="2074"/>
          </w:tcPr>
          <w:p>
            <w:r>
              <w:t>Retain as historical/reference; do not implement conflicting candidate semantics literally.</w:t>
            </w:r>
          </w:p>
        </w:tc>
        <w:tc>
          <w:tcPr>
            <w:tcW w:type="dxa" w:w="2074"/>
          </w:tcPr>
          <w:p>
            <w:r>
              <w:t>Documentation/knowledge sync</w:t>
            </w:r>
          </w:p>
        </w:tc>
      </w:tr>
      <w:tr>
        <w:tc>
          <w:tcPr>
            <w:tcW w:type="dxa" w:w="2074"/>
          </w:tcPr>
          <w:p>
            <w:r>
              <w:t>R-15</w:t>
            </w:r>
          </w:p>
        </w:tc>
        <w:tc>
          <w:tcPr>
            <w:tcW w:type="dxa" w:w="2074"/>
          </w:tcPr>
          <w:p>
            <w:r>
              <w:t>M05 meeting_link semantics</w:t>
            </w:r>
          </w:p>
        </w:tc>
        <w:tc>
          <w:tcPr>
            <w:tcW w:type="dxa" w:w="2074"/>
          </w:tcPr>
          <w:p>
            <w:r>
              <w:t>STALE / EVOLVE</w:t>
            </w:r>
          </w:p>
        </w:tc>
        <w:tc>
          <w:tcPr>
            <w:tcW w:type="dxa" w:w="2074"/>
          </w:tcPr>
          <w:p>
            <w:r>
              <w:t>Provider Binding is canonical provider execution association.</w:t>
            </w:r>
          </w:p>
        </w:tc>
        <w:tc>
          <w:tcPr>
            <w:tcW w:type="dxa" w:w="2074"/>
          </w:tcPr>
          <w:p>
            <w:r>
              <w:t>M05/PRD downstream evolution</w:t>
            </w:r>
          </w:p>
        </w:tc>
      </w:tr>
    </w:tbl>
    <w:p>
      <w:pPr>
        <w:pStyle w:val="Heading1"/>
      </w:pPr>
      <w:r>
        <w:t>9. AEP4 Artifact Completion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Step</w:t>
            </w:r>
          </w:p>
        </w:tc>
        <w:tc>
          <w:tcPr>
            <w:tcW w:type="dxa" w:w="2592"/>
          </w:tcPr>
          <w:p>
            <w:r>
              <w:t>Artifact</w:t>
            </w:r>
          </w:p>
        </w:tc>
        <w:tc>
          <w:tcPr>
            <w:tcW w:type="dxa" w:w="2592"/>
          </w:tcPr>
          <w:p>
            <w:r>
              <w:t>Gate</w:t>
            </w:r>
          </w:p>
        </w:tc>
        <w:tc>
          <w:tcPr>
            <w:tcW w:type="dxa" w:w="2592"/>
          </w:tcPr>
          <w:p>
            <w:r>
              <w:t>Result</w:t>
            </w:r>
          </w:p>
        </w:tc>
      </w:tr>
      <w:tr>
        <w:tc>
          <w:tcPr>
            <w:tcW w:type="dxa" w:w="2592"/>
          </w:tcPr>
          <w:p>
            <w:r>
              <w:t>01</w:t>
            </w:r>
          </w:p>
        </w:tc>
        <w:tc>
          <w:tcPr>
            <w:tcW w:type="dxa" w:w="2592"/>
          </w:tcPr>
          <w:p>
            <w:r>
              <w:t>Governance &amp; Evidence Reconciliation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Evidence boundary, project order, residuals</w:t>
            </w:r>
          </w:p>
        </w:tc>
      </w:tr>
      <w:tr>
        <w:tc>
          <w:tcPr>
            <w:tcW w:type="dxa" w:w="2592"/>
          </w:tcPr>
          <w:p>
            <w:r>
              <w:t>02</w:t>
            </w:r>
          </w:p>
        </w:tc>
        <w:tc>
          <w:tcPr>
            <w:tcW w:type="dxa" w:w="2592"/>
          </w:tcPr>
          <w:p>
            <w:r>
              <w:t>Core Decision Register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OD-01…OD-15; OD-08 open</w:t>
            </w:r>
          </w:p>
        </w:tc>
      </w:tr>
      <w:tr>
        <w:tc>
          <w:tcPr>
            <w:tcW w:type="dxa" w:w="2592"/>
          </w:tcPr>
          <w:p>
            <w:r>
              <w:t>03</w:t>
            </w:r>
          </w:p>
        </w:tc>
        <w:tc>
          <w:tcPr>
            <w:tcW w:type="dxa" w:w="2592"/>
          </w:tcPr>
          <w:p>
            <w:r>
              <w:t>Decision Consolidation &amp; Boundary Traceability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Canonical semantic set and downstream guardrails</w:t>
            </w:r>
          </w:p>
        </w:tc>
      </w:tr>
      <w:tr>
        <w:tc>
          <w:tcPr>
            <w:tcW w:type="dxa" w:w="2592"/>
          </w:tcPr>
          <w:p>
            <w:r>
              <w:t>04</w:t>
            </w:r>
          </w:p>
        </w:tc>
        <w:tc>
          <w:tcPr>
            <w:tcW w:type="dxa" w:w="2592"/>
          </w:tcPr>
          <w:p>
            <w:r>
              <w:t>Learning Session Domain Architecture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Learning Session capability inside Learning</w:t>
            </w:r>
          </w:p>
        </w:tc>
      </w:tr>
      <w:tr>
        <w:tc>
          <w:tcPr>
            <w:tcW w:type="dxa" w:w="2592"/>
          </w:tcPr>
          <w:p>
            <w:r>
              <w:t>05</w:t>
            </w:r>
          </w:p>
        </w:tc>
        <w:tc>
          <w:tcPr>
            <w:tcW w:type="dxa" w:w="2592"/>
          </w:tcPr>
          <w:p>
            <w:r>
              <w:t>OD-16 + Logical Entity/Relationship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Enrollment lifecycle principle</w:t>
            </w:r>
          </w:p>
        </w:tc>
      </w:tr>
      <w:tr>
        <w:tc>
          <w:tcPr>
            <w:tcW w:type="dxa" w:w="2592"/>
          </w:tcPr>
          <w:p>
            <w:r>
              <w:t>06</w:t>
            </w:r>
          </w:p>
        </w:tc>
        <w:tc>
          <w:tcPr>
            <w:tcW w:type="dxa" w:w="2592"/>
          </w:tcPr>
          <w:p>
            <w:r>
              <w:t>ERD / Entity-Relationship Reconciliation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Course/Event/Session enrollment separation</w:t>
            </w:r>
          </w:p>
        </w:tc>
      </w:tr>
      <w:tr>
        <w:tc>
          <w:tcPr>
            <w:tcW w:type="dxa" w:w="2592"/>
          </w:tcPr>
          <w:p>
            <w:r>
              <w:t>07</w:t>
            </w:r>
          </w:p>
        </w:tc>
        <w:tc>
          <w:tcPr>
            <w:tcW w:type="dxa" w:w="2592"/>
          </w:tcPr>
          <w:p>
            <w:r>
              <w:t>Logical Schema / Data Dictionary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Provider Binding/evidence separation; physical schema deferred</w:t>
            </w:r>
          </w:p>
        </w:tc>
      </w:tr>
      <w:tr>
        <w:tc>
          <w:tcPr>
            <w:tcW w:type="dxa" w:w="2592"/>
          </w:tcPr>
          <w:p>
            <w:r>
              <w:t>08</w:t>
            </w:r>
          </w:p>
        </w:tc>
        <w:tc>
          <w:tcPr>
            <w:tcW w:type="dxa" w:w="2592"/>
          </w:tcPr>
          <w:p>
            <w:r>
              <w:t>Provider Adapter &amp; Integration Contract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Provider-neutral adapter/evidence pipeline</w:t>
            </w:r>
          </w:p>
        </w:tc>
      </w:tr>
      <w:tr>
        <w:tc>
          <w:tcPr>
            <w:tcW w:type="dxa" w:w="2592"/>
          </w:tcPr>
          <w:p>
            <w:r>
              <w:t>09</w:t>
            </w:r>
          </w:p>
        </w:tc>
        <w:tc>
          <w:tcPr>
            <w:tcW w:type="dxa" w:w="2592"/>
          </w:tcPr>
          <w:p>
            <w:r>
              <w:t>API Impact Specification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Provider-neutral API boundary; exact payloads downstream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RBAC / Permission Impact</w:t>
            </w:r>
          </w:p>
        </w:tc>
        <w:tc>
          <w:tcPr>
            <w:tcW w:type="dxa" w:w="2592"/>
          </w:tcPr>
          <w:p>
            <w:r>
              <w:t>PASS WITH DEPENDENCIES</w:t>
            </w:r>
          </w:p>
        </w:tc>
        <w:tc>
          <w:tcPr>
            <w:tcW w:type="dxa" w:w="2592"/>
          </w:tcPr>
          <w:p>
            <w:r>
              <w:t>Semantic authorization; MADCR-053/054 remain</w:t>
            </w:r>
          </w:p>
        </w:tc>
      </w:tr>
      <w:tr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User Flow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Session enrollment/access/evidence/completion flow</w:t>
            </w:r>
          </w:p>
        </w:tc>
      </w:tr>
      <w:tr>
        <w:tc>
          <w:tcPr>
            <w:tcW w:type="dxa" w:w="2592"/>
          </w:tcPr>
          <w:p>
            <w:r>
              <w:t>12</w:t>
            </w:r>
          </w:p>
        </w:tc>
        <w:tc>
          <w:tcPr>
            <w:tcW w:type="dxa" w:w="2592"/>
          </w:tcPr>
          <w:p>
            <w:r>
              <w:t>PRD / Product Requirement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Capability/acceptance delta</w:t>
            </w:r>
          </w:p>
        </w:tc>
      </w:tr>
      <w:tr>
        <w:tc>
          <w:tcPr>
            <w:tcW w:type="dxa" w:w="2592"/>
          </w:tcPr>
          <w:p>
            <w:r>
              <w:t>13</w:t>
            </w:r>
          </w:p>
        </w:tc>
        <w:tc>
          <w:tcPr>
            <w:tcW w:type="dxa" w:w="2592"/>
          </w:tcPr>
          <w:p>
            <w:r>
              <w:t>Engineering / Playbook Impact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  <w:tc>
          <w:tcPr>
            <w:tcW w:type="dxa" w:w="2592"/>
          </w:tcPr>
          <w:p>
            <w:r>
              <w:t>Engineering guardrails and prohibited shortcuts</w:t>
            </w:r>
          </w:p>
        </w:tc>
      </w:tr>
      <w:tr>
        <w:tc>
          <w:tcPr>
            <w:tcW w:type="dxa" w:w="2592"/>
          </w:tcPr>
          <w:p>
            <w:r>
              <w:t>14</w:t>
            </w:r>
          </w:p>
        </w:tc>
        <w:tc>
          <w:tcPr>
            <w:tcW w:type="dxa" w:w="2592"/>
          </w:tcPr>
          <w:p>
            <w:r>
              <w:t>Test / Business Rule Traceability</w:t>
            </w:r>
          </w:p>
        </w:tc>
        <w:tc>
          <w:tcPr>
            <w:tcW w:type="dxa" w:w="2592"/>
          </w:tcPr>
          <w:p>
            <w:r>
              <w:t>PASS WITH CONTROLLED DEPENDENCIES</w:t>
            </w:r>
          </w:p>
        </w:tc>
        <w:tc>
          <w:tcPr>
            <w:tcW w:type="dxa" w:w="2592"/>
          </w:tcPr>
          <w:p>
            <w:r>
              <w:t>42 trace obligations</w:t>
            </w:r>
          </w:p>
        </w:tc>
      </w:tr>
      <w:tr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Cross-Document Reconciliation</w:t>
            </w:r>
          </w:p>
        </w:tc>
        <w:tc>
          <w:tcPr>
            <w:tcW w:type="dxa" w:w="2592"/>
          </w:tcPr>
          <w:p>
            <w:r>
              <w:t>PASS WITH CONTROLLED DELTAS</w:t>
            </w:r>
          </w:p>
        </w:tc>
        <w:tc>
          <w:tcPr>
            <w:tcW w:type="dxa" w:w="2592"/>
          </w:tcPr>
          <w:p>
            <w:r>
              <w:t>Stale wording and controlled deltas recorded</w:t>
            </w:r>
          </w:p>
        </w:tc>
      </w:tr>
      <w:tr>
        <w:tc>
          <w:tcPr>
            <w:tcW w:type="dxa" w:w="2592"/>
          </w:tcPr>
          <w:p>
            <w:r>
              <w:t>16</w:t>
            </w:r>
          </w:p>
        </w:tc>
        <w:tc>
          <w:tcPr>
            <w:tcW w:type="dxa" w:w="2592"/>
          </w:tcPr>
          <w:p>
            <w:r>
              <w:t>Final Synchronization / Consolidated Package</w:t>
            </w:r>
          </w:p>
        </w:tc>
        <w:tc>
          <w:tcPr>
            <w:tcW w:type="dxa" w:w="2592"/>
          </w:tcPr>
          <w:p>
            <w:r>
              <w:t>CURRENT</w:t>
            </w:r>
          </w:p>
        </w:tc>
        <w:tc>
          <w:tcPr>
            <w:tcW w:type="dxa" w:w="2592"/>
          </w:tcPr>
          <w:p>
            <w:r>
              <w:t>This artifact</w:t>
            </w:r>
          </w:p>
        </w:tc>
      </w:tr>
    </w:tbl>
    <w:p>
      <w:pPr>
        <w:pStyle w:val="Heading1"/>
      </w:pPr>
      <w:r>
        <w:t>10. Controlled Stale-Document Updates</w:t>
      </w:r>
    </w:p>
    <w:p>
      <w:pPr>
        <w:pStyle w:val="ListBullet"/>
      </w:pPr>
      <w:r>
        <w:t>Current PRD live/webinar wording must be updated in later global PRD synchronization so Event Calendar is integration/presentation context and Learning Session is semantic authority.</w:t>
      </w:r>
    </w:p>
    <w:p>
      <w:pPr>
        <w:pStyle w:val="ListBullet"/>
      </w:pPr>
      <w:r>
        <w:t>M05 events.meeting_link is legacy/generic; Provider Binding is the canonical provider execution association.</w:t>
      </w:r>
    </w:p>
    <w:p>
      <w:pPr>
        <w:pStyle w:val="ListBullet"/>
      </w:pPr>
      <w:r>
        <w:t>M05 events.quota is not canonical Learning Session capacity.</w:t>
      </w:r>
    </w:p>
    <w:p>
      <w:pPr>
        <w:pStyle w:val="ListBullet"/>
      </w:pPr>
      <w:r>
        <w:t>Older Learning Session Architecture Evolution v2 remains historical/non-normative wherever it conflicts with the controlled AEP4 state.</w:t>
      </w:r>
    </w:p>
    <w:p>
      <w:pPr>
        <w:pStyle w:val="ListBullet"/>
      </w:pPr>
      <w:r>
        <w:t>These are documentation synchronization deltas, not reasons to reopen AEP4.</w:t>
      </w:r>
    </w:p>
    <w:p>
      <w:pPr>
        <w:pStyle w:val="Heading1"/>
      </w:pPr>
      <w:r>
        <w:t>11. Implementation Authorization Boundary</w:t>
      </w:r>
    </w:p>
    <w:p>
      <w:pPr>
        <w:pStyle w:val="ListBullet"/>
      </w:pPr>
      <w:r>
        <w:t>NO physical database migration is authorized by Step 16.</w:t>
      </w:r>
    </w:p>
    <w:p>
      <w:pPr>
        <w:pStyle w:val="ListBullet"/>
      </w:pPr>
      <w:r>
        <w:t>NO final provider production binding is authorized solely by AEP4.</w:t>
      </w:r>
    </w:p>
    <w:p>
      <w:pPr>
        <w:pStyle w:val="ListBullet"/>
      </w:pPr>
      <w:r>
        <w:t>NO final RBAC permission IDs are authorized while MADCR-053/054 remain open.</w:t>
      </w:r>
    </w:p>
    <w:p>
      <w:pPr>
        <w:pStyle w:val="ListBullet"/>
      </w:pPr>
      <w:r>
        <w:t>NO automatic provider failover is authorized as a mandatory requirement while OD-08 remains open.</w:t>
      </w:r>
    </w:p>
    <w:p>
      <w:pPr>
        <w:pStyle w:val="ListBullet"/>
      </w:pPr>
      <w:r>
        <w:t>NO final Learning Activity evidence contract is authorized through AEP4 while MADCR-049 remains open/re-evaluation.</w:t>
      </w:r>
    </w:p>
    <w:p>
      <w:pPr>
        <w:pStyle w:val="ListBullet"/>
      </w:pPr>
      <w:r>
        <w:t>NO global PRD/architecture/ERD/API/RBAC baseline rewrite is performed here.</w:t>
      </w:r>
    </w:p>
    <w:p>
      <w:pPr>
        <w:pStyle w:val="ListBullet"/>
      </w:pPr>
      <w:r>
        <w:t>Implementation may proceed only after the applicable downstream/global governance gates authorize it.</w:t>
      </w:r>
    </w:p>
    <w:p>
      <w:pPr>
        <w:pStyle w:val="Heading1"/>
      </w:pPr>
      <w:r>
        <w:t>12. Final AEP4 State</w:t>
      </w:r>
    </w:p>
    <w:p>
      <w:r>
        <w:t>AEP4 is now considered synchronized at the controlled impact/semantic level. The canonical package is stable enough to be handed to the post-AEP4 Cross-AEP Consolidation phase. Residuals are explicit and non-silent; they must travel forward rather than being resolved by assumption.</w:t>
      </w:r>
    </w:p>
    <w:p>
      <w:pPr>
        <w:pStyle w:val="Heading1"/>
      </w:pPr>
      <w:r>
        <w:t>13. Next Project Phase</w:t>
      </w:r>
    </w:p>
    <w:p>
      <w:r>
        <w:t>AEP4 is the fourth and final AEP in the locked execution sequence. The next phase is NOT AEP5. It is:</w:t>
      </w:r>
    </w:p>
    <w:p>
      <w:pPr>
        <w:pStyle w:val="ListNumber"/>
      </w:pPr>
      <w:r>
        <w:t>Cross-AEP Consolidation — reconcile AEP1 + AEP2 + AEP3 + AEP4.</w:t>
      </w:r>
    </w:p>
    <w:p>
      <w:pPr>
        <w:pStyle w:val="ListNumber"/>
      </w:pPr>
      <w:r>
        <w:t>Project-Wide Technical/Governance Synchronization.</w:t>
      </w:r>
    </w:p>
    <w:p>
      <w:pPr>
        <w:pStyle w:val="ListNumber"/>
      </w:pPr>
      <w:r>
        <w:t>Project Baseline / Knowledge Refresh / Changelog Reconciliation.</w:t>
      </w:r>
    </w:p>
    <w:p>
      <w:pPr>
        <w:pStyle w:val="ListNumber"/>
      </w:pPr>
      <w:r>
        <w:t>Only after those gates: implementation planning/execution for approved downstream deltas, with independent residual governance handled by its owning gate.</w:t>
      </w:r>
    </w:p>
    <w:p>
      <w:pPr>
        <w:pStyle w:val="Heading1"/>
      </w:pPr>
      <w:r>
        <w:t>14. Decision Assessment</w:t>
      </w:r>
    </w:p>
    <w:p>
      <w:r>
        <w:t>NO NEW USER OPEN DECISION REQUIRED.</w:t>
      </w:r>
    </w:p>
    <w:p>
      <w:r>
        <w:t>The only AEP4-specific semantic decision still open is OD-08 Automatic Provider Failover. Other residuals are independent governance, business-rule, provider-verification or downstream implementation dependencies. None requires reopening the approved AEP4 semantic state.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