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RUMAHAGEN — ARCHITECTURE EVOLUTION PROPOSAL</w:t>
      </w:r>
    </w:p>
    <w:p>
      <w:pPr>
        <w:jc w:val="center"/>
      </w:pPr>
      <w:r>
        <w:rPr>
          <w:i/>
        </w:rPr>
        <w:t>Monetization, Subscription &amp; Promotion Architecture Alignment v1.0</w:t>
      </w:r>
    </w:p>
    <w:tbl>
      <w:tblPr>
        <w:tblStyle w:val="TableGrid"/>
        <w:tblW w:type="auto" w:w="0"/>
        <w:tblLook w:firstColumn="1" w:firstRow="1" w:lastColumn="0" w:lastRow="0" w:noHBand="0" w:noVBand="1" w:val="04A0"/>
      </w:tblPr>
      <w:tblGrid>
        <w:gridCol w:w="4968"/>
        <w:gridCol w:w="4968"/>
      </w:tblGrid>
      <w:tr>
        <w:tc>
          <w:tcPr>
            <w:tcW w:type="dxa" w:w="4968"/>
          </w:tcPr>
          <w:p>
            <w:r>
              <w:t>Document Type</w:t>
            </w:r>
          </w:p>
        </w:tc>
        <w:tc>
          <w:tcPr>
            <w:tcW w:type="dxa" w:w="4968"/>
          </w:tcPr>
          <w:p>
            <w:r>
              <w:t>Architecture Evolution Proposal</w:t>
            </w:r>
          </w:p>
        </w:tc>
      </w:tr>
      <w:tr>
        <w:tc>
          <w:tcPr>
            <w:tcW w:type="dxa" w:w="4968"/>
          </w:tcPr>
          <w:p>
            <w:r>
              <w:t>Version</w:t>
            </w:r>
          </w:p>
        </w:tc>
        <w:tc>
          <w:tcPr>
            <w:tcW w:type="dxa" w:w="4968"/>
          </w:tcPr>
          <w:p>
            <w:r>
              <w:t>1.1</w:t>
            </w:r>
          </w:p>
        </w:tc>
      </w:tr>
      <w:tr>
        <w:tc>
          <w:tcPr>
            <w:tcW w:type="dxa" w:w="4968"/>
          </w:tcPr>
          <w:p>
            <w:r>
              <w:t>Status</w:t>
            </w:r>
          </w:p>
        </w:tc>
        <w:tc>
          <w:tcPr>
            <w:tcW w:type="dxa" w:w="4968"/>
          </w:tcPr>
          <w:p>
            <w:r>
              <w:t>Revised — Configuration Model Clarified</w:t>
            </w:r>
          </w:p>
        </w:tc>
      </w:tr>
      <w:tr>
        <w:tc>
          <w:tcPr>
            <w:tcW w:type="dxa" w:w="4968"/>
          </w:tcPr>
          <w:p>
            <w:r>
              <w:t>Business Logic Reference</w:t>
            </w:r>
          </w:p>
        </w:tc>
        <w:tc>
          <w:tcPr>
            <w:tcW w:type="dxa" w:w="4968"/>
          </w:tcPr>
          <w:p>
            <w:r>
              <w:t>Business Rules Baseline v1.0 — BR-001–BR-151</w:t>
            </w:r>
          </w:p>
        </w:tc>
      </w:tr>
      <w:tr>
        <w:tc>
          <w:tcPr>
            <w:tcW w:type="dxa" w:w="4968"/>
          </w:tcPr>
          <w:p>
            <w:r>
              <w:t>Primary Scope</w:t>
            </w:r>
          </w:p>
        </w:tc>
        <w:tc>
          <w:tcPr>
            <w:tcW w:type="dxa" w:w="4968"/>
          </w:tcPr>
          <w:p>
            <w:r>
              <w:t>Monetization, Subscription, Promotion, Entitlement, Agency Lifecycle</w:t>
            </w:r>
          </w:p>
        </w:tc>
      </w:tr>
      <w:tr>
        <w:tc>
          <w:tcPr>
            <w:tcW w:type="dxa" w:w="4968"/>
          </w:tcPr>
          <w:p>
            <w:r>
              <w:t>Target Tool</w:t>
            </w:r>
          </w:p>
        </w:tc>
        <w:tc>
          <w:tcPr>
            <w:tcW w:type="dxa" w:w="4968"/>
          </w:tcPr>
          <w:p>
            <w:r>
              <w:t>Claude — document/architecture synchronization</w:t>
            </w:r>
          </w:p>
        </w:tc>
      </w:tr>
      <w:tr>
        <w:tc>
          <w:tcPr>
            <w:tcW w:type="dxa" w:w="4968"/>
          </w:tcPr>
          <w:p>
            <w:r>
              <w:t>Important Constraint</w:t>
            </w:r>
          </w:p>
        </w:tc>
        <w:tc>
          <w:tcPr>
            <w:tcW w:type="dxa" w:w="4968"/>
          </w:tcPr>
          <w:p>
            <w:r>
              <w:t>Do not invent pricing, product tiers, or commercial values not explicitly defined in source documents.</w:t>
            </w:r>
          </w:p>
        </w:tc>
      </w:tr>
    </w:tbl>
    <w:p>
      <w:pPr>
        <w:pStyle w:val="Heading1"/>
      </w:pPr>
      <w:r>
        <w:t>1. Executive Purpose</w:t>
      </w:r>
    </w:p>
    <w:p>
      <w:r>
        <w:t>This document defines the Architecture Evolution required to align RumahAgen's monetization, subscription, promotion, and entitlement architecture with the locked Business Rules Baseline v1.0.</w:t>
      </w:r>
    </w:p>
    <w:p>
      <w:r>
        <w:t>It is intended as an implementation-alignment document for Claude. Claude should use it together with the existing project documents and the locked Business Rules Baseline, then update only the affected downstream artifacts while preserving existing architecture decisions that remain valid.</w:t>
      </w:r>
    </w:p>
    <w:p>
      <w:r>
        <w:t>This is not a replacement for the Business Rules Baseline. The Business Rules Baseline remains the normative source for business logic.</w:t>
      </w:r>
    </w:p>
    <w:p>
      <w:pPr>
        <w:pStyle w:val="Heading1"/>
      </w:pPr>
      <w:r>
        <w:t>2. Source-of-Truth Hierarchy</w:t>
      </w:r>
    </w:p>
    <w:p>
      <w:pPr>
        <w:pStyle w:val="ListNumber"/>
      </w:pPr>
      <w:r>
        <w:t>1) Business Rules Baseline v1.0 — BR-001–BR-151: normative business logic.</w:t>
      </w:r>
    </w:p>
    <w:p>
      <w:pPr>
        <w:pStyle w:val="ListNumber"/>
      </w:pPr>
      <w:r>
        <w:t>2) Existing ADR / System Architecture / Technology Decision documents: architectural constraints and technology decisions unless contradicted by a newly approved architecture evolution.</w:t>
      </w:r>
    </w:p>
    <w:p>
      <w:pPr>
        <w:pStyle w:val="ListNumber"/>
      </w:pPr>
      <w:r>
        <w:t>3) Existing PRD, ERD, Schema, API, Permission Matrix, User Flow, SEO and related documents: downstream artifacts that must be synchronized.</w:t>
      </w:r>
    </w:p>
    <w:p>
      <w:pPr>
        <w:pStyle w:val="ListNumber"/>
      </w:pPr>
      <w:r>
        <w:t>4) This Architecture Evolution Proposal: defines the required architectural evolution and synchronization work for monetization, subscription, promotion and entitlement.</w:t>
      </w:r>
    </w:p>
    <w:p>
      <w:r>
        <w:t>If a conflict is found, Claude must identify it explicitly rather than silently choosing one interpretation.</w:t>
      </w:r>
    </w:p>
    <w:p>
      <w:pPr>
        <w:pStyle w:val="Heading1"/>
      </w:pPr>
      <w:r>
        <w:t>3. Scope</w:t>
      </w:r>
    </w:p>
    <w:p>
      <w:r>
        <w:t>Included: subscription lifecycle, Free/Pro state, add-on entitlement, promotional entitlement, entitlement ownership, quota accounting, downgrade/upgrade behavior, agency/personal separation, promotion expiry, closure impact, auditability, APIs, schema implications, permissions, UI flows, and analytics separation.</w:t>
      </w:r>
    </w:p>
    <w:p>
      <w:r>
        <w:t>Excluded from invention: exact prices, billing provider configuration, tax rates, discount percentages, package SKU names, payment settlement rules, or other commercial values unless already present in the uploaded source documents.</w:t>
      </w:r>
    </w:p>
    <w:p>
      <w:pPr>
        <w:pStyle w:val="Heading1"/>
      </w:pPr>
      <w:r>
        <w:t>4. Confirmed Monetization Model — Locked Business Direction</w:t>
      </w:r>
    </w:p>
    <w:p>
      <w:r>
        <w:t>RumahAgen uses a combination of subscription and add-on monetization.</w:t>
      </w:r>
    </w:p>
    <w:p>
      <w:pPr>
        <w:pStyle w:val="ListBullet"/>
      </w:pPr>
      <w:r>
        <w:t>Agency can operate under a Free state and can upgrade to Pro.</w:t>
      </w:r>
    </w:p>
    <w:p>
      <w:pPr>
        <w:pStyle w:val="ListBullet"/>
      </w:pPr>
      <w:r>
        <w:t>Agency can return from Pro to Free.</w:t>
      </w:r>
    </w:p>
    <w:p>
      <w:pPr>
        <w:pStyle w:val="ListBullet"/>
      </w:pPr>
      <w:r>
        <w:t>Add-on purchased without promotion is permanent.</w:t>
      </w:r>
    </w:p>
    <w:p>
      <w:pPr>
        <w:pStyle w:val="ListBullet"/>
      </w:pPr>
      <w:r>
        <w:t>Add-on obtained through a promotion has a defined promotional validity period.</w:t>
      </w:r>
    </w:p>
    <w:p>
      <w:r>
        <w:t>Returning from Pro to Free does not remove previously owned permanent add-ons.</w:t>
      </w:r>
    </w:p>
    <w:p>
      <w:r>
        <w:t>The initial Free bonus quota of 20 is granted only once when the Agency is first activated.</w:t>
      </w:r>
    </w:p>
    <w:p>
      <w:r>
        <w:t>The initial Free bonus quota is not reset when an Agency returns from Pro to Free.</w:t>
      </w:r>
    </w:p>
    <w:p>
      <w:r>
        <w:t>After the configured initial Free bonus units have been fully consumed, the Agency must purchase add-ons or use an applicable subscription entitlement to obtain additional capacity.</w:t>
      </w:r>
    </w:p>
    <w:p>
      <w:r>
        <w:t>Subscription state and add-on entitlement must therefore be modeled separately.</w:t>
      </w:r>
    </w:p>
    <w:p>
      <w:pPr>
        <w:pStyle w:val="Heading1"/>
      </w:pPr>
      <w:r>
        <w:t>5. Subscription Architecture</w:t>
      </w:r>
    </w:p>
    <w:p>
      <w:r>
        <w:t>Subscription status must be modeled independently from Permanent Add-on entitlement.</w:t>
      </w:r>
    </w:p>
    <w:p>
      <w:r>
        <w:t>At minimum, the architecture must support the semantic distinction between Free and Pro.</w:t>
      </w:r>
    </w:p>
    <w:p>
      <w:r>
        <w:t>Upgrade to Pro grants the Pro entitlement defined by the product plan; it must not rewrite or erase existing permanent add-on ownership.</w:t>
      </w:r>
    </w:p>
    <w:p>
      <w:r>
        <w:t>Downgrade from Pro to Free changes subscription entitlement but does not reset the one-time Free bonus and does not remove permanent add-ons.</w:t>
      </w:r>
    </w:p>
    <w:p>
      <w:r>
        <w:t>Subscription lifecycle events must be auditable.</w:t>
      </w:r>
    </w:p>
    <w:p>
      <w:r>
        <w:t>Subscription state must be server-authoritative.</w:t>
      </w:r>
    </w:p>
    <w:p>
      <w:r>
        <w:t>Subscription changes must be idempotent so repeated callbacks/requests do not double-grant or double-revoke entitlement.</w:t>
      </w:r>
    </w:p>
    <w:p>
      <w:r>
        <w:t>Any subscription expiration, cancellation, renewal, or downgrade behavior must be reconciled with the actual commercial rules already present in the existing documents; do not invent missing billing semantics.</w:t>
      </w:r>
    </w:p>
    <w:p>
      <w:pPr>
        <w:pStyle w:val="Heading1"/>
      </w:pPr>
      <w:r>
        <w:t>6. Entitlement Architecture</w:t>
      </w:r>
    </w:p>
    <w:p>
      <w:r>
        <w:t>Architecture should distinguish Subscription Entitlement from Add-on Entitlement.</w:t>
      </w:r>
    </w:p>
    <w:p>
      <w:pPr>
        <w:pStyle w:val="ListBullet"/>
      </w:pPr>
      <w:r>
        <w:t>Recommended conceptual separation: Plan/Subscription → grants plan entitlement; Add-on Purchase/Grant → creates add-on entitlement; Promotion → determines validity/benefit of promotional grants.</w:t>
      </w:r>
    </w:p>
    <w:p>
      <w:r>
        <w:t>Entitlement records should carry ownership/context information sufficient to distinguish Agency entitlement from Personal entitlement.</w:t>
      </w:r>
    </w:p>
    <w:p>
      <w:r>
        <w:t>Permanent add-ons must have no promotion expiry.</w:t>
      </w:r>
    </w:p>
    <w:p>
      <w:r>
        <w:t>Promotional add-ons must carry explicit validity/expiry metadata.</w:t>
      </w:r>
    </w:p>
    <w:p>
      <w:r>
        <w:t>Consumption must be recorded independently from ownership.</w:t>
      </w:r>
    </w:p>
    <w:p>
      <w:r>
        <w:t>Consumption must not transfer ownership.</w:t>
      </w:r>
    </w:p>
    <w:p>
      <w:r>
        <w:t>Allocation must determine ownership of allocated Permanent Add-on.</w:t>
      </w:r>
    </w:p>
    <w:p>
      <w:r>
        <w:t>Unallocated Permanent Add-on at Agency closure becomes owned by the Agency Owner.</w:t>
      </w:r>
    </w:p>
    <w:p>
      <w:r>
        <w:t>Allocated Permanent Add-on remains owned by the allocated agent even when the agent leaves or is forcibly removed.</w:t>
      </w:r>
    </w:p>
    <w:p>
      <w:r>
        <w:t>Lead must not automatically reclaim an allocated permanent add-on merely because a member is removed.</w:t>
      </w:r>
    </w:p>
    <w:p>
      <w:pPr>
        <w:pStyle w:val="Heading1"/>
      </w:pPr>
      <w:r>
        <w:t>7. One-Time Free Bonus — Required State Model</w:t>
      </w:r>
    </w:p>
    <w:p>
      <w:r>
        <w:t>The initial Free bonus is a configurable activation grant, not a recurring monthly quota. The default value may be set through commercial configuration and may be adjusted before or during live operation without changing the underlying business logic.</w:t>
      </w:r>
    </w:p>
    <w:p>
      <w:r>
        <w:t>The configured initial Free grant occurs once when the Agency is first activated.</w:t>
      </w:r>
    </w:p>
    <w:p>
      <w:r>
        <w:t>Returning from Pro to Free must not trigger another initial Free grant.</w:t>
      </w:r>
    </w:p>
    <w:p>
      <w:r>
        <w:t>The system therefore needs a durable marker/entitlement record proving that the initial Free grant has already been issued. The grant quantity must be read from commercial configuration rather than hardcoded in application logic.</w:t>
      </w:r>
    </w:p>
    <w:p>
      <w:r>
        <w:t>Do not implement the Free grant as a simple calculation that resets whenever subscription_plan = FREE. Persist the grant issuance state and read the grant quantity from commercial configuration.</w:t>
      </w:r>
    </w:p>
    <w:p>
      <w:r>
        <w:t>Consumption history must remain auditable.</w:t>
      </w:r>
    </w:p>
    <w:p>
      <w:pPr>
        <w:pStyle w:val="Heading1"/>
      </w:pPr>
      <w:r>
        <w:t>8. Promotion Architecture</w:t>
      </w:r>
    </w:p>
    <w:p>
      <w:r>
        <w:t>Promotion is a separate business concept from subscription and permanent ownership.</w:t>
      </w:r>
    </w:p>
    <w:p>
      <w:r>
        <w:t>A promotion can grant an entitlement with a defined validity period.</w:t>
      </w:r>
    </w:p>
    <w:p>
      <w:r>
        <w:t>Promotional validity must be represented explicitly with start/end or equivalent expiry semantics.</w:t>
      </w:r>
    </w:p>
    <w:p>
      <w:r>
        <w:t>Promotion expiry must be capable of triggering automatic transfer evaluation where the locked listing rules require it.</w:t>
      </w:r>
    </w:p>
    <w:p>
      <w:r>
        <w:t>On normal Member Exit, a listing that is PUBLISHED + PROMO_ACTIVE remains Agency Published until promotion expiry.</w:t>
      </w:r>
    </w:p>
    <w:p>
      <w:r>
        <w:t>At promotion expiry, the system must automatically run transfer evaluation without requiring the agent to log in.</w:t>
      </w:r>
    </w:p>
    <w:p>
      <w:r>
        <w:t>On Agency Closure, the Published + Active Promo exception does not apply: active Agency promotion is forfeited and the listing is transferred to Personal Draft.</w:t>
      </w:r>
    </w:p>
    <w:p>
      <w:r>
        <w:t>Promotion forfeiture must not incorrectly revoke permanent add-ons.</w:t>
      </w:r>
    </w:p>
    <w:p>
      <w:pPr>
        <w:pStyle w:val="Heading1"/>
      </w:pPr>
      <w:r>
        <w:t>9. Listing / Monetization Interaction</w:t>
      </w:r>
    </w:p>
    <w:p>
      <w:r>
        <w:t>Listing ownership, listing context, subscription entitlement and promotion entitlement are separate concepts.</w:t>
      </w:r>
    </w:p>
    <w:p>
      <w:r>
        <w:t>A listing may be owned by an agent while operating in Agency context.</w:t>
      </w:r>
    </w:p>
    <w:p>
      <w:r>
        <w:t>On standard member exit, PUBLISHED + PROMO_ACTIVE is retained until expiry; all other affected Agency listings become Personal Draft.</w:t>
      </w:r>
    </w:p>
    <w:p>
      <w:r>
        <w:t>On Agency closure, all Agency listings become Personal Draft and Agency promo is forfeited.</w:t>
      </w:r>
    </w:p>
    <w:p>
      <w:r>
        <w:t>Origin must remain preserved even when current context changes from Agency to Personal.</w:t>
      </w:r>
    </w:p>
    <w:p>
      <w:r>
        <w:t>Lead History is deleted when the affected listing becomes Personal Draft; audit may retain the event fact but must not preserve the deleted Lead History content.</w:t>
      </w:r>
    </w:p>
    <w:p>
      <w:pPr>
        <w:pStyle w:val="ListBullet"/>
      </w:pPr>
      <w:r>
        <w:t>Agency Analytics and Personal Listing Analytics remain separate.</w:t>
      </w:r>
    </w:p>
    <w:p>
      <w:pPr>
        <w:pStyle w:val="Heading1"/>
      </w:pPr>
      <w:r>
        <w:t>10. Agency Closure — Monetization Impact</w:t>
      </w:r>
    </w:p>
    <w:p>
      <w:pPr>
        <w:pStyle w:val="ListBullet"/>
      </w:pPr>
      <w:r>
        <w:t>Agency Closure follows ACTIVE → CLOSING → CLOSED.</w:t>
      </w:r>
    </w:p>
    <w:p>
      <w:r>
        <w:t>Closure is initiated by Lead and requires confirmation plus email OTP.</w:t>
      </w:r>
    </w:p>
    <w:p>
      <w:r>
        <w:t>After successful OTP, closure is irreversible.</w:t>
      </w:r>
    </w:p>
    <w:p>
      <w:r>
        <w:t>During CLOSING, new Agency entitlement purchases and new Agency Listing creation are blocked.</w:t>
      </w:r>
    </w:p>
    <w:p>
      <w:r>
        <w:t>Active Agency promotions are forfeited during closure.</w:t>
      </w:r>
    </w:p>
    <w:p>
      <w:r>
        <w:t>Unallocated Permanent Add-ons become Owner's Personal Entitlement.</w:t>
      </w:r>
    </w:p>
    <w:p>
      <w:r>
        <w:t>Allocated Permanent Add-ons remain Personal Entitlement of the allocated agent.</w:t>
      </w:r>
    </w:p>
    <w:p>
      <w:r>
        <w:t>Membership termination does not automatically delete Personal Entitlement.</w:t>
      </w:r>
    </w:p>
    <w:p>
      <w:r>
        <w:t>After CLOSED, Transfer Exceptions are automatically deleted according to the locked business rules.</w:t>
      </w:r>
    </w:p>
    <w:p>
      <w:pPr>
        <w:pStyle w:val="Heading1"/>
      </w:pPr>
      <w:r>
        <w:t>11. Free / Pro / Add-on Decision Matrix</w:t>
      </w:r>
    </w:p>
    <w:p>
      <w:pPr>
        <w:pStyle w:val="ListBullet"/>
      </w:pPr>
      <w:r>
        <w:t>Free + no add-on remaining → no additional add-on-derived capacity; user must purchase add-on or use applicable Pro entitlement.</w:t>
      </w:r>
    </w:p>
    <w:p>
      <w:pPr>
        <w:pStyle w:val="ListBullet"/>
      </w:pPr>
      <w:r>
        <w:t>Free + permanent add-on owned → permanent add-on remains available regardless of returning from Pro to Free.</w:t>
      </w:r>
    </w:p>
    <w:p>
      <w:pPr>
        <w:pStyle w:val="ListBullet"/>
      </w:pPr>
      <w:r>
        <w:t>Pro → Free → permanent add-on remains.</w:t>
      </w:r>
    </w:p>
    <w:p>
      <w:pPr>
        <w:pStyle w:val="ListBullet"/>
      </w:pPr>
      <w:r>
        <w:t>Pro → Free → initial 20 Free bonus is NOT reissued.</w:t>
      </w:r>
    </w:p>
    <w:p>
      <w:pPr>
        <w:pStyle w:val="ListBullet"/>
      </w:pPr>
      <w:r>
        <w:t>Add-on purchased without promotion → permanent.</w:t>
      </w:r>
    </w:p>
    <w:p>
      <w:pPr>
        <w:pStyle w:val="ListBullet"/>
      </w:pPr>
      <w:r>
        <w:t>Add-on obtained through promotion → valid only for defined promotional period.</w:t>
      </w:r>
    </w:p>
    <w:p>
      <w:pPr>
        <w:pStyle w:val="ListBullet"/>
      </w:pPr>
      <w:r>
        <w:t>Member removed → allocated permanent add-on remains with agent.</w:t>
      </w:r>
    </w:p>
    <w:p>
      <w:pPr>
        <w:pStyle w:val="ListBullet"/>
      </w:pPr>
      <w:r>
        <w:t>Agency closed → unallocated permanent add-on goes to Owner; allocated permanent add-on remains with recipient.</w:t>
      </w:r>
    </w:p>
    <w:p>
      <w:pPr>
        <w:pStyle w:val="Heading1"/>
      </w:pPr>
      <w:r>
        <w:t>12. Required Domain / Data Model Evolution</w:t>
      </w:r>
    </w:p>
    <w:p>
      <w:r>
        <w:t>Claude should inspect the existing ERD/schema and introduce or adapt entities only where necessary.</w:t>
      </w:r>
    </w:p>
    <w:p>
      <w:r>
        <w:t>Conceptual domains that must be representable: Subscription/Plan, Subscription Lifecycle, Entitlement, Add-on, Add-on Allocation, Promotion, Promotion Grant/Validity, Consumption, and relevant Audit/Event records.</w:t>
      </w:r>
    </w:p>
    <w:p>
      <w:r>
        <w:t>Do not duplicate ownership state across unrelated tables if a canonical entitlement/ownership model can represent it.</w:t>
      </w:r>
    </w:p>
    <w:p>
      <w:r>
        <w:t>Do not encode business lifecycle solely as derived UI state.</w:t>
      </w:r>
    </w:p>
    <w:p>
      <w:r>
        <w:t>Preserve listing origin and current context as separate concepts.</w:t>
      </w:r>
    </w:p>
    <w:p>
      <w:r>
        <w:t>Ensure historical state can be audited without retaining deleted Lead History content.</w:t>
      </w:r>
    </w:p>
    <w:p>
      <w:pPr>
        <w:pStyle w:val="Heading1"/>
      </w:pPr>
      <w:r>
        <w:t>13. API / Service Architecture Evolution</w:t>
      </w:r>
    </w:p>
    <w:p>
      <w:r>
        <w:t>Subscription operations should be separated from entitlement consumption.</w:t>
      </w:r>
    </w:p>
    <w:p>
      <w:r>
        <w:t>Promotion operations should be separated from permanent add-on ownership.</w:t>
      </w:r>
    </w:p>
    <w:p>
      <w:r>
        <w:t>Entitlement grant/revoke/expire operations must be idempotent.</w:t>
      </w:r>
    </w:p>
    <w:p>
      <w:r>
        <w:t>Automatic promotion-expiry evaluation must be triggerable by the system without user login.</w:t>
      </w:r>
    </w:p>
    <w:p>
      <w:pPr>
        <w:pStyle w:val="ListBullet"/>
      </w:pPr>
      <w:r>
        <w:t>Agency closure processing must orchestrate listing transfer, promo forfeiture, add-on ownership resolution, membership termination and audit.</w:t>
      </w:r>
    </w:p>
    <w:p>
      <w:r>
        <w:t>API authorization must consider both user role and Agency state.</w:t>
      </w:r>
    </w:p>
    <w:p>
      <w:r>
        <w:t>Client-side state must never be authoritative for subscription or entitlement ownership.</w:t>
      </w:r>
    </w:p>
    <w:p>
      <w:pPr>
        <w:pStyle w:val="Heading1"/>
      </w:pPr>
      <w:r>
        <w:t>14. Permission / RBAC Impact</w:t>
      </w:r>
    </w:p>
    <w:p>
      <w:r>
        <w:t>Lead may manage Agency subscription actions allowed by the product rules while Agency is ACTIVE.</w:t>
      </w:r>
    </w:p>
    <w:p>
      <w:r>
        <w:t>During CLOSING, Lead retains closure-management visibility and necessary forced-removal capabilities but cannot perform new Agency operational creation/purchase actions.</w:t>
      </w:r>
    </w:p>
    <w:p>
      <w:pPr>
        <w:pStyle w:val="ListBullet"/>
      </w:pPr>
      <w:r>
        <w:t>Member must not gain access to Agency subscription administration merely because the member owns an allocated add-on.</w:t>
      </w:r>
    </w:p>
    <w:p>
      <w:r>
        <w:t>Personal entitlement belongs to the agent and must remain available according to entitlement rules independent of Agency membership termination.</w:t>
      </w:r>
    </w:p>
    <w:p>
      <w:pPr>
        <w:pStyle w:val="Heading1"/>
      </w:pPr>
      <w:r>
        <w:t>15. Billing / Payment Boundary</w:t>
      </w:r>
    </w:p>
    <w:p>
      <w:r>
        <w:t>The architecture must separate payment transaction status from entitlement status.</w:t>
      </w:r>
    </w:p>
    <w:p>
      <w:r>
        <w:t>A successful payment should result in an entitlement grant only through a controlled/idempotent fulfillment process.</w:t>
      </w:r>
    </w:p>
    <w:p>
      <w:r>
        <w:t>A payment record must not itself be treated as the entitlement source of truth.</w:t>
      </w:r>
    </w:p>
    <w:p>
      <w:r>
        <w:t>Provider callbacks/webhooks must be safe against duplication and out-of-order delivery.</w:t>
      </w:r>
    </w:p>
    <w:p>
      <w:r>
        <w:t>Exact payment gateway, pricing and tax behavior must be inherited from existing approved documents rather than invented by this proposal.</w:t>
      </w:r>
    </w:p>
    <w:p>
      <w:pPr>
        <w:pStyle w:val="Heading1"/>
      </w:pPr>
      <w:r>
        <w:t>16. Analytics &amp; Reporting</w:t>
      </w:r>
    </w:p>
    <w:p>
      <w:r>
        <w:t>Subscription analytics, Agency analytics, Personal Listing analytics, add-on consumption and promotion performance should remain distinguishable.</w:t>
      </w:r>
    </w:p>
    <w:p>
      <w:pPr>
        <w:pStyle w:val="ListBullet"/>
      </w:pPr>
      <w:r>
        <w:t>Agency Analytics must not become Personal Analytics merely because a listing transfers to Personal Draft.</w:t>
      </w:r>
    </w:p>
    <w:p>
      <w:r>
        <w:t>Commercial reporting should be based on immutable transaction/grant/consumption events rather than current plan state alone.</w:t>
      </w:r>
    </w:p>
    <w:p>
      <w:r>
        <w:t>Promotion reporting must distinguish granted, active, expired, consumed and forfeited states where the existing reporting model supports them.</w:t>
      </w:r>
    </w:p>
    <w:p>
      <w:pPr>
        <w:pStyle w:val="Heading1"/>
      </w:pPr>
      <w:r>
        <w:t>17. Failure Handling &amp; Idempotency</w:t>
      </w:r>
    </w:p>
    <w:p>
      <w:r>
        <w:t>Subscription change processing must be idempotent.</w:t>
      </w:r>
    </w:p>
    <w:p>
      <w:r>
        <w:t>Payment fulfillment must be idempotent.</w:t>
      </w:r>
    </w:p>
    <w:p>
      <w:r>
        <w:t>Promotion expiry evaluation must be idempotent.</w:t>
      </w:r>
    </w:p>
    <w:p>
      <w:r>
        <w:t>Listing transfer must be idempotent.</w:t>
      </w:r>
    </w:p>
    <w:p>
      <w:pPr>
        <w:pStyle w:val="ListBullet"/>
      </w:pPr>
      <w:r>
        <w:t>Add-on ownership transfer must be idempotent.</w:t>
      </w:r>
    </w:p>
    <w:p>
      <w:r>
        <w:t>Membership termination must be idempotent.</w:t>
      </w:r>
    </w:p>
    <w:p>
      <w:pPr>
        <w:pStyle w:val="ListBullet"/>
      </w:pPr>
      <w:r>
        <w:t>Agency closure must be idempotent.</w:t>
      </w:r>
    </w:p>
    <w:p>
      <w:r>
        <w:t>Where a failure is not recoverable, the system must record an operational exception without silently claiming success.</w:t>
      </w:r>
    </w:p>
    <w:p>
      <w:pPr>
        <w:pStyle w:val="Heading1"/>
      </w:pPr>
      <w:r>
        <w:t>18. Architecture Decisions Claude Must Validate Against Existing Documents</w:t>
      </w:r>
    </w:p>
    <w:p>
      <w:r>
        <w:t>Whether current schema already separates plan/subscription from entitlement.</w:t>
      </w:r>
    </w:p>
    <w:p>
      <w:r>
        <w:t>Whether current add-on records distinguish permanent versus promotional validity.</w:t>
      </w:r>
    </w:p>
    <w:p>
      <w:r>
        <w:t>Whether the one-time Free 20 grant is persisted as an irreversible activation grant.</w:t>
      </w:r>
    </w:p>
    <w:p>
      <w:r>
        <w:t>Whether subscription downgrade currently resets quota incorrectly.</w:t>
      </w:r>
    </w:p>
    <w:p>
      <w:r>
        <w:t>Whether promotion expiry has a scheduler/event mechanism capable of automatic transfer evaluation.</w:t>
      </w:r>
    </w:p>
    <w:p>
      <w:r>
        <w:t>Whether closure processing can atomically/orchestratedly resolve promo forfeiture and add-on ownership.</w:t>
      </w:r>
    </w:p>
    <w:p>
      <w:r>
        <w:t>Whether payment success is incorrectly coupled directly to quota state.</w:t>
      </w:r>
    </w:p>
    <w:p>
      <w:r>
        <w:t>Whether Agency and Personal analytics are currently mixed.</w:t>
      </w:r>
    </w:p>
    <w:p>
      <w:r>
        <w:t>Whether RBAC currently permits subscription/purchase actions during CLOSING.</w:t>
      </w:r>
    </w:p>
    <w:p>
      <w:pPr>
        <w:pStyle w:val="Heading1"/>
      </w:pPr>
      <w:r>
        <w:t>19. Mandatory Downstream Documents to Synchronize</w:t>
      </w:r>
    </w:p>
    <w:p>
      <w:r>
        <w:t>Architecture Evolution Proposal / System Architecture.</w:t>
      </w:r>
    </w:p>
    <w:p>
      <w:r>
        <w:t>ADR(s) for monetization, entitlement, subscription and promotion.</w:t>
      </w:r>
    </w:p>
    <w:p>
      <w:r>
        <w:t>PRD.</w:t>
      </w:r>
    </w:p>
    <w:p>
      <w:r>
        <w:t>ERD.</w:t>
      </w:r>
    </w:p>
    <w:p>
      <w:r>
        <w:t>Database Schema.</w:t>
      </w:r>
    </w:p>
    <w:p>
      <w:r>
        <w:t>API Contract / API Design.</w:t>
      </w:r>
    </w:p>
    <w:p>
      <w:r>
        <w:t>RBAC / Permission Matrix.</w:t>
      </w:r>
    </w:p>
    <w:p>
      <w:r>
        <w:t>User Flow.</w:t>
      </w:r>
    </w:p>
    <w:p>
      <w:r>
        <w:t>Engineering Guidebook / Playbook.</w:t>
      </w:r>
    </w:p>
    <w:p>
      <w:r>
        <w:t>Technology Decision document.</w:t>
      </w:r>
    </w:p>
    <w:p>
      <w:r>
        <w:t>Project Manifest / Current Project State.</w:t>
      </w:r>
    </w:p>
    <w:p>
      <w:r>
        <w:t>Decision Log / Change Log.</w:t>
      </w:r>
    </w:p>
    <w:p>
      <w:r>
        <w:t>SEO where subscription/public Agency state affects indexed pages.</w:t>
      </w:r>
    </w:p>
    <w:p>
      <w:r>
        <w:t>Test strategy / acceptance criteria / scenario matrix.</w:t>
      </w:r>
    </w:p>
    <w:p>
      <w:pPr>
        <w:pStyle w:val="Heading1"/>
      </w:pPr>
      <w:r>
        <w:t>20. Claude Execution Instructions</w:t>
      </w:r>
    </w:p>
    <w:p>
      <w:r>
        <w:t>Read this document together with Business Rules Baseline v1.0 and all existing RumahAgen architecture documents supplied by the user.</w:t>
      </w:r>
    </w:p>
    <w:p>
      <w:r>
        <w:t>Do not overwrite valid existing decisions merely to simplify implementation.</w:t>
      </w:r>
    </w:p>
    <w:p>
      <w:r>
        <w:t>Identify every contradiction between existing documents and the locked Business Rules Baseline.</w:t>
      </w:r>
    </w:p>
    <w:p>
      <w:r>
        <w:t>Create an Impact Matrix showing document, section, current rule, required change, reason, and dependency.</w:t>
      </w:r>
    </w:p>
    <w:p>
      <w:r>
        <w:t>Update the canonical architecture first, then synchronize downstream documents in dependency order.</w:t>
      </w:r>
    </w:p>
    <w:p>
      <w:r>
        <w:t>Maintain exact terminology across documents: Agency, Lead, Member, Personal, Agency Listing, Personal Draft, Subscription, Pro, Free, Permanent Add-on, Promotional Add-on, Promotion Expiry, Personal Entitlement, Agency Entitlement, CLOSING, CLOSED, TRANSFER_EXCEPTION.</w:t>
      </w:r>
    </w:p>
    <w:p>
      <w:r>
        <w:t>Do not invent commercial numbers, prices, plan limits, billing periods, discount percentages, or provider behavior that is not present in source documents.</w:t>
      </w:r>
    </w:p>
    <w:p>
      <w:r>
        <w:t>Where a missing commercial decision blocks implementation, mark it as OPEN DECISION instead of guessing.</w:t>
      </w:r>
    </w:p>
    <w:p>
      <w:r>
        <w:t>After updates, run a contradiction/gap audit against BR-001–BR-151.</w:t>
      </w:r>
    </w:p>
    <w:p>
      <w:r>
        <w:t>Produce a traceability matrix from each changed architecture rule back to the relevant BR(s).</w:t>
      </w:r>
    </w:p>
    <w:p>
      <w:pPr>
        <w:pStyle w:val="Heading1"/>
      </w:pPr>
      <w:r>
        <w:t>21. Required Deliverables From Claude</w:t>
      </w:r>
    </w:p>
    <w:p>
      <w:r>
        <w:t>1. Architecture Evolution Proposal update.</w:t>
      </w:r>
    </w:p>
    <w:p>
      <w:r>
        <w:t>2. Updated monetization/subscription/promotion architecture section.</w:t>
      </w:r>
    </w:p>
    <w:p>
      <w:r>
        <w:t>3. Updated domain model / ERD impact specification.</w:t>
      </w:r>
    </w:p>
    <w:p>
      <w:r>
        <w:t>4. Updated schema impact specification.</w:t>
      </w:r>
    </w:p>
    <w:p>
      <w:r>
        <w:t>5. Updated API/service impact specification.</w:t>
      </w:r>
    </w:p>
    <w:p>
      <w:r>
        <w:t>6. Updated RBAC/Permission impact.</w:t>
      </w:r>
    </w:p>
    <w:p>
      <w:r>
        <w:t>7. Updated User Flow.</w:t>
      </w:r>
    </w:p>
    <w:p>
      <w:r>
        <w:t>8. Updated PRD requirements.</w:t>
      </w:r>
    </w:p>
    <w:p>
      <w:r>
        <w:t>9. Updated ADR and Decision Log entries.</w:t>
      </w:r>
    </w:p>
    <w:p>
      <w:r>
        <w:t>10. Updated Engineering Guidebook/Playbook where implementation rules change.</w:t>
      </w:r>
    </w:p>
    <w:p>
      <w:r>
        <w:t>11. Impact Matrix.</w:t>
      </w:r>
    </w:p>
    <w:p>
      <w:r>
        <w:t>12. BR Traceability Matrix.</w:t>
      </w:r>
    </w:p>
    <w:p>
      <w:r>
        <w:t>13. Final Contradiction &amp; Gap Audit.</w:t>
      </w:r>
    </w:p>
    <w:p>
      <w:r>
        <w:t>14. List of remaining OPEN DECISIONS, if any.</w:t>
      </w:r>
    </w:p>
    <w:p>
      <w:pPr>
        <w:pStyle w:val="Heading1"/>
      </w:pPr>
      <w:r>
        <w:t>22. Definition of Done</w:t>
      </w:r>
    </w:p>
    <w:p>
      <w:r>
        <w:t>All monetization, subscription, promotion and entitlement behavior is represented consistently across canonical architecture and downstream documents.</w:t>
      </w:r>
    </w:p>
    <w:p>
      <w:pPr>
        <w:pStyle w:val="ListBullet"/>
      </w:pPr>
      <w:r>
        <w:t>Configured initial Free activation grant cannot reset on Pro → Free.</w:t>
      </w:r>
    </w:p>
    <w:p>
      <w:pPr>
        <w:pStyle w:val="ListBullet"/>
      </w:pPr>
      <w:r>
        <w:t>Permanent add-ons survive Pro → Free and membership termination according to ownership rules.</w:t>
      </w:r>
    </w:p>
    <w:p>
      <w:r>
        <w:t>Promotional add-ons expire according to explicit validity.</w:t>
      </w:r>
    </w:p>
    <w:p>
      <w:r>
        <w:t>Promotion expiry can trigger automatic transfer evaluation.</w:t>
      </w:r>
    </w:p>
    <w:p>
      <w:pPr>
        <w:pStyle w:val="ListBullet"/>
      </w:pPr>
      <w:r>
        <w:t>Agency closure forfeits active Agency promotions.</w:t>
      </w:r>
    </w:p>
    <w:p>
      <w:r>
        <w:t>Allocated permanent add-ons are not reclaimed by Lead on member removal.</w:t>
      </w:r>
    </w:p>
    <w:p>
      <w:r>
        <w:t>Unallocated permanent add-ons become Owner entitlement on closure.</w:t>
      </w:r>
    </w:p>
    <w:p>
      <w:pPr>
        <w:pStyle w:val="ListBullet"/>
      </w:pPr>
      <w:r>
        <w:t>Agency and Personal analytics remain separate.</w:t>
      </w:r>
    </w:p>
    <w:p>
      <w:r>
        <w:t>Payment status and entitlement status are not conflated.</w:t>
      </w:r>
    </w:p>
    <w:p>
      <w:r>
        <w:t>All affected operations are idempotent.</w:t>
      </w:r>
    </w:p>
    <w:p>
      <w:r>
        <w:t>No downstream document contradicts BR-001–BR-151.</w:t>
      </w:r>
    </w:p>
    <w:p>
      <w:pPr>
        <w:pStyle w:val="Heading1"/>
      </w:pPr>
      <w:r>
        <w:t>Baseline relationship</w:t>
      </w:r>
    </w:p>
    <w:p>
      <w:r>
        <w:t>This proposal does not supersede Business Rules Baseline v1.0. It translates locked business rules into architecture evolution requirements. Business Rules Baseline v1.0 remains the normative business-logic source of truth.</w:t>
      </w:r>
    </w:p>
    <w:p>
      <w:pPr>
        <w:pStyle w:val="Heading1"/>
      </w:pPr>
      <w:r>
        <w:t>23. Commercial Configuration vs Business Invariants</w:t>
      </w:r>
    </w:p>
    <w:p>
      <w:r>
        <w:t>The initial Free grant quantity is explicitly classified as a CONFIGURABLE COMMERCIAL PARAMETER. The architecture MUST NOT hardcode the quantity in application logic.</w:t>
      </w:r>
    </w:p>
    <w:tbl>
      <w:tblPr>
        <w:tblStyle w:val="TableGrid"/>
        <w:tblW w:type="auto" w:w="0"/>
        <w:tblLook w:firstColumn="1" w:firstRow="1" w:lastColumn="0" w:lastRow="0" w:noHBand="0" w:noVBand="1" w:val="04A0"/>
      </w:tblPr>
      <w:tblGrid>
        <w:gridCol w:w="3312"/>
        <w:gridCol w:w="3312"/>
        <w:gridCol w:w="3312"/>
      </w:tblGrid>
      <w:tr>
        <w:tc>
          <w:tcPr>
            <w:tcW w:type="dxa" w:w="3312"/>
          </w:tcPr>
          <w:p>
            <w:r>
              <w:t>Parameter</w:t>
            </w:r>
          </w:p>
        </w:tc>
        <w:tc>
          <w:tcPr>
            <w:tcW w:type="dxa" w:w="3312"/>
          </w:tcPr>
          <w:p>
            <w:r>
              <w:t>Classification</w:t>
            </w:r>
          </w:p>
        </w:tc>
        <w:tc>
          <w:tcPr>
            <w:tcW w:type="dxa" w:w="3312"/>
          </w:tcPr>
          <w:p>
            <w:r>
              <w:t>Rule</w:t>
            </w:r>
          </w:p>
        </w:tc>
      </w:tr>
      <w:tr>
        <w:tc>
          <w:tcPr>
            <w:tcW w:type="dxa" w:w="3312"/>
          </w:tcPr>
          <w:p>
            <w:r>
              <w:t>Initial Free Grant Quantity</w:t>
            </w:r>
          </w:p>
        </w:tc>
        <w:tc>
          <w:tcPr>
            <w:tcW w:type="dxa" w:w="3312"/>
          </w:tcPr>
          <w:p>
            <w:r>
              <w:t>CONFIGURABLE COMMERCIAL PARAMETER</w:t>
            </w:r>
          </w:p>
        </w:tc>
        <w:tc>
          <w:tcPr>
            <w:tcW w:type="dxa" w:w="3312"/>
          </w:tcPr>
          <w:p>
            <w:r>
              <w:t>Defines how many Free bonus units are granted on first Agency activation. Example/default may be 20, but the live value must be configurable.</w:t>
            </w:r>
          </w:p>
        </w:tc>
      </w:tr>
      <w:tr>
        <w:tc>
          <w:tcPr>
            <w:tcW w:type="dxa" w:w="3312"/>
          </w:tcPr>
          <w:p>
            <w:r>
              <w:t>Pro Price</w:t>
            </w:r>
          </w:p>
        </w:tc>
        <w:tc>
          <w:tcPr>
            <w:tcW w:type="dxa" w:w="3312"/>
          </w:tcPr>
          <w:p>
            <w:r>
              <w:t>CONFIGURABLE COMMERCIAL PARAMETER</w:t>
            </w:r>
          </w:p>
        </w:tc>
        <w:tc>
          <w:tcPr>
            <w:tcW w:type="dxa" w:w="3312"/>
          </w:tcPr>
          <w:p>
            <w:r>
              <w:t>No fixed value defined by this proposal.</w:t>
            </w:r>
          </w:p>
        </w:tc>
      </w:tr>
      <w:tr>
        <w:tc>
          <w:tcPr>
            <w:tcW w:type="dxa" w:w="3312"/>
          </w:tcPr>
          <w:p>
            <w:r>
              <w:t>Pro Quota</w:t>
            </w:r>
          </w:p>
        </w:tc>
        <w:tc>
          <w:tcPr>
            <w:tcW w:type="dxa" w:w="3312"/>
          </w:tcPr>
          <w:p>
            <w:r>
              <w:t>CONFIGURABLE COMMERCIAL PARAMETER</w:t>
            </w:r>
          </w:p>
        </w:tc>
        <w:tc>
          <w:tcPr>
            <w:tcW w:type="dxa" w:w="3312"/>
          </w:tcPr>
          <w:p>
            <w:r>
              <w:t>No fixed value defined by this proposal.</w:t>
            </w:r>
          </w:p>
        </w:tc>
      </w:tr>
      <w:tr>
        <w:tc>
          <w:tcPr>
            <w:tcW w:type="dxa" w:w="3312"/>
          </w:tcPr>
          <w:p>
            <w:r>
              <w:t>Add-on Price / Quantity</w:t>
            </w:r>
          </w:p>
        </w:tc>
        <w:tc>
          <w:tcPr>
            <w:tcW w:type="dxa" w:w="3312"/>
          </w:tcPr>
          <w:p>
            <w:r>
              <w:t>CONFIGURABLE COMMERCIAL PARAMETER</w:t>
            </w:r>
          </w:p>
        </w:tc>
        <w:tc>
          <w:tcPr>
            <w:tcW w:type="dxa" w:w="3312"/>
          </w:tcPr>
          <w:p>
            <w:r>
              <w:t>No fixed value defined by this proposal.</w:t>
            </w:r>
          </w:p>
        </w:tc>
      </w:tr>
      <w:tr>
        <w:tc>
          <w:tcPr>
            <w:tcW w:type="dxa" w:w="3312"/>
          </w:tcPr>
          <w:p>
            <w:r>
              <w:t>Promotion Duration / Benefit / Discount</w:t>
            </w:r>
          </w:p>
        </w:tc>
        <w:tc>
          <w:tcPr>
            <w:tcW w:type="dxa" w:w="3312"/>
          </w:tcPr>
          <w:p>
            <w:r>
              <w:t>CONFIGURABLE COMMERCIAL PARAMETER</w:t>
            </w:r>
          </w:p>
        </w:tc>
        <w:tc>
          <w:tcPr>
            <w:tcW w:type="dxa" w:w="3312"/>
          </w:tcPr>
          <w:p>
            <w:r>
              <w:t>No fixed value defined by this proposal.</w:t>
            </w:r>
          </w:p>
        </w:tc>
      </w:tr>
      <w:tr>
        <w:tc>
          <w:tcPr>
            <w:tcW w:type="dxa" w:w="3312"/>
          </w:tcPr>
          <w:p>
            <w:r>
              <w:t>OTP Request Limit</w:t>
            </w:r>
          </w:p>
        </w:tc>
        <w:tc>
          <w:tcPr>
            <w:tcW w:type="dxa" w:w="3312"/>
          </w:tcPr>
          <w:p>
            <w:r>
              <w:t>BUSINESS / SECURITY INVARIANT</w:t>
            </w:r>
          </w:p>
        </w:tc>
        <w:tc>
          <w:tcPr>
            <w:tcW w:type="dxa" w:w="3312"/>
          </w:tcPr>
          <w:p>
            <w:r>
              <w:t>Currently locked at 3 requests per closure flow.</w:t>
            </w:r>
          </w:p>
        </w:tc>
      </w:tr>
      <w:tr>
        <w:tc>
          <w:tcPr>
            <w:tcW w:type="dxa" w:w="3312"/>
          </w:tcPr>
          <w:p>
            <w:r>
              <w:t>OTP Verification Attempts</w:t>
            </w:r>
          </w:p>
        </w:tc>
        <w:tc>
          <w:tcPr>
            <w:tcW w:type="dxa" w:w="3312"/>
          </w:tcPr>
          <w:p>
            <w:r>
              <w:t>BUSINESS / SECURITY INVARIANT</w:t>
            </w:r>
          </w:p>
        </w:tc>
        <w:tc>
          <w:tcPr>
            <w:tcW w:type="dxa" w:w="3312"/>
          </w:tcPr>
          <w:p>
            <w:r>
              <w:t>Currently locked at 3 attempts per OTP.</w:t>
            </w:r>
          </w:p>
        </w:tc>
      </w:tr>
      <w:tr>
        <w:tc>
          <w:tcPr>
            <w:tcW w:type="dxa" w:w="3312"/>
          </w:tcPr>
          <w:p>
            <w:r>
              <w:t>Automatic Retry</w:t>
            </w:r>
          </w:p>
        </w:tc>
        <w:tc>
          <w:tcPr>
            <w:tcW w:type="dxa" w:w="3312"/>
          </w:tcPr>
          <w:p>
            <w:r>
              <w:t>BUSINESS / OPERATIONAL INVARIANT</w:t>
            </w:r>
          </w:p>
        </w:tc>
        <w:tc>
          <w:tcPr>
            <w:tcW w:type="dxa" w:w="3312"/>
          </w:tcPr>
          <w:p>
            <w:r>
              <w:t>Currently locked at 1 retry.</w:t>
            </w:r>
          </w:p>
        </w:tc>
      </w:tr>
      <w:tr>
        <w:tc>
          <w:tcPr>
            <w:tcW w:type="dxa" w:w="3312"/>
          </w:tcPr>
          <w:p>
            <w:r>
              <w:t>Initial Grant Frequency</w:t>
            </w:r>
          </w:p>
        </w:tc>
        <w:tc>
          <w:tcPr>
            <w:tcW w:type="dxa" w:w="3312"/>
          </w:tcPr>
          <w:p>
            <w:r>
              <w:t>BUSINESS RULE</w:t>
            </w:r>
          </w:p>
        </w:tc>
        <w:tc>
          <w:tcPr>
            <w:tcW w:type="dxa" w:w="3312"/>
          </w:tcPr>
          <w:p>
            <w:r>
              <w:t>One-time per Agency activation lifecycle; changing the configured quantity must not cause a second grant.</w:t>
            </w:r>
          </w:p>
        </w:tc>
      </w:tr>
    </w:tbl>
    <w:p>
      <w:pPr>
        <w:pStyle w:val="Heading2"/>
      </w:pPr>
      <w:r>
        <w:t>Configuration Safety Requirements</w:t>
      </w:r>
    </w:p>
    <w:p>
      <w:pPr>
        <w:pStyle w:val="ListBullet"/>
      </w:pPr>
      <w:r>
        <w:t>The configured initial Free grant value must be stored in a controlled commercial configuration source, not embedded as a code constant.</w:t>
      </w:r>
    </w:p>
    <w:p>
      <w:pPr>
        <w:pStyle w:val="ListBullet"/>
      </w:pPr>
      <w:r>
        <w:t>Changing the configured value affects future eligible grants unless an explicit effective-date/versioning policy says otherwise.</w:t>
      </w:r>
    </w:p>
    <w:p>
      <w:pPr>
        <w:pStyle w:val="ListBullet"/>
      </w:pPr>
      <w:r>
        <w:t>Already-issued grants must not be silently increased, decreased, or re-issued merely because the configuration changes.</w:t>
      </w:r>
    </w:p>
    <w:p>
      <w:pPr>
        <w:pStyle w:val="ListBullet"/>
      </w:pPr>
      <w:r>
        <w:t>The system must persist the actual quantity granted at the time of activation so historical entitlement remains auditable.</w:t>
      </w:r>
    </w:p>
    <w:p>
      <w:pPr>
        <w:pStyle w:val="ListBullet"/>
      </w:pPr>
      <w:r>
        <w:t>Changing the configuration must never reset consumed quota or create a duplicate initial grant.</w:t>
      </w:r>
    </w:p>
    <w:p>
      <w:pPr>
        <w:pStyle w:val="ListBullet"/>
      </w:pPr>
      <w:r>
        <w:t>Claude must update ERD, Schema, API, Admin/Configuration flow, audit model, and tests accordingly if the current architecture does not already support this.</w:t>
      </w:r>
    </w:p>
    <w:p>
      <w:pPr>
        <w:pStyle w:val="Heading1"/>
      </w:pPr>
      <w:r>
        <w:t>Baseline relationship</w:t>
      </w:r>
    </w:p>
    <w:p>
      <w:r>
        <w:t>This proposal does not supersede Business Rules Baseline v1.0. It translates locked business rules into architecture evolution requirements. Business Rules Baseline v1.0 remains the normative business-logic source of truth. The initial Free grant quantity is a configurable commercial parameter; only its one-time issuance semantics are invariant.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