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RUMAHAGEN — MASTER BUSINESS RULES v1.3</w:t>
      </w:r>
    </w:p>
    <w:p>
      <w:pPr>
        <w:pStyle w:val="Heading1"/>
      </w:pPr>
      <w:r>
        <w:t>FINAL TRACEABILITY GATE / LOCK REVIEW</w:t>
      </w:r>
    </w:p>
    <w:p>
      <w:r>
        <w:t xml:space="preserve">**Status:** PASS WITH CONDITIONS — AGENCY/ORGANIZATION RESOLVED  </w:t>
      </w:r>
    </w:p>
    <w:p>
      <w:r>
        <w:t xml:space="preserve">**Authority:** BR-001–BR-151 remain LOCKED; Title 001–100 remains authoritative; Learning Economy remains authoritative.  </w:t>
      </w:r>
    </w:p>
    <w:p>
      <w:r>
        <w:t>**Implementation:** NOT AUTHORIZED.</w:t>
      </w:r>
    </w:p>
    <w:p>
      <w:pPr>
        <w:pStyle w:val="Heading1"/>
      </w:pPr>
      <w:r>
        <w:t>1. Gate Objective</w:t>
      </w:r>
    </w:p>
    <w:p>
      <w:r>
        <w:t>This review updates the Master Business Rules v1.2 Final Consolidation Candidate using the explicit governance decision:</w:t>
      </w:r>
    </w:p>
    <w:p>
      <w:r>
        <w:t>&gt; **Agency and Organization are the same concept.**</w:t>
      </w:r>
    </w:p>
    <w:p>
      <w:r>
        <w:t>The purpose is to determine which former Gate-1 blockers are now resolved and which architectural/business questions remain open.</w:t>
      </w:r>
    </w:p>
    <w:p>
      <w:pPr>
        <w:pStyle w:val="Heading1"/>
      </w:pPr>
      <w:r>
        <w:t>2. Decision Applied</w:t>
      </w:r>
    </w:p>
    <w:p>
      <w:pPr>
        <w:pStyle w:val="Heading2"/>
      </w:pPr>
      <w:r>
        <w:t>Agency = Organization</w:t>
      </w:r>
    </w:p>
    <w:p>
      <w:r>
        <w:t>For RumahAgen:</w:t>
      </w:r>
    </w:p>
    <w:p>
      <w:pPr>
        <w:pStyle w:val="ListBullet"/>
      </w:pPr>
      <w:r>
        <w:t>Agency and Organization are not two separate business concepts.</w:t>
      </w:r>
    </w:p>
    <w:p>
      <w:pPr>
        <w:pStyle w:val="ListBullet"/>
      </w:pPr>
      <w:r>
        <w:t>They must not be modeled as separate conceptual entities merely because different documents use the terms.</w:t>
      </w:r>
    </w:p>
    <w:p>
      <w:pPr>
        <w:pStyle w:val="ListBullet"/>
      </w:pPr>
      <w:r>
        <w:t>“Agency” may remain the business/product-facing term.</w:t>
      </w:r>
    </w:p>
    <w:p>
      <w:pPr>
        <w:pStyle w:val="ListBullet"/>
      </w:pPr>
      <w:r>
        <w:t>“Organization” may remain a technical/domain term where useful.</w:t>
      </w:r>
    </w:p>
    <w:p>
      <w:pPr>
        <w:pStyle w:val="ListBullet"/>
      </w:pPr>
      <w:r>
        <w:t>Both refer to the same underlying organizational context.</w:t>
      </w:r>
    </w:p>
    <w:p>
      <w:pPr>
        <w:pStyle w:val="Heading2"/>
      </w:pPr>
      <w:r>
        <w:t>Governance effect</w:t>
      </w:r>
    </w:p>
    <w:p>
      <w:r>
        <w:t>The following former blocker is now **RESOLVED**:</w:t>
      </w:r>
    </w:p>
    <w:p>
      <w:r>
        <w:t>**Agency vs Organization canonical identity → PASS.**</w:t>
      </w:r>
    </w:p>
    <w:p>
      <w:r>
        <w:t>This decision removes the need for an Agency-vs-Organization identity branch in ERD/ADR.</w:t>
      </w:r>
    </w:p>
    <w:p>
      <w:pPr>
        <w:pStyle w:val="Heading1"/>
      </w:pPr>
      <w:r>
        <w:t>3. Re-evaluation of affected rules</w:t>
      </w:r>
    </w:p>
    <w:p>
      <w:pPr>
        <w:pStyle w:val="Heading2"/>
      </w:pPr>
      <w:r>
        <w:t>MBR-TITLE-SCOPE-001</w:t>
      </w:r>
    </w:p>
    <w:p>
      <w:r>
        <w:t>**Previous:** PROPOSED / GATE-1 DEPENDENT.</w:t>
      </w:r>
    </w:p>
    <w:p>
      <w:r>
        <w:t>**Updated:** PROPOSED — identity dependency resolved.</w:t>
      </w:r>
    </w:p>
    <w:p>
      <w:r>
        <w:t>Title scope/context may now use the single Agency/Organization concept. Remaining cross-context semantics must still follow the approved membership/context rules.</w:t>
      </w:r>
    </w:p>
    <w:p>
      <w:pPr>
        <w:pStyle w:val="Heading2"/>
      </w:pPr>
      <w:r>
        <w:t>MBR-COM-X02 — Agency Subscription / Member Allocation</w:t>
      </w:r>
    </w:p>
    <w:p>
      <w:r>
        <w:t>**Previous:** PROPOSED / GATE-1 DEPENDENT.</w:t>
      </w:r>
    </w:p>
    <w:p>
      <w:r>
        <w:t>**Updated:** PROPOSED — Agency/Organization identity dependency resolved.</w:t>
      </w:r>
    </w:p>
    <w:p>
      <w:r>
        <w:t>The rule remains subject to the final commercial quota/entitlement model, but no longer requires a separate Agency-vs-Organization identity decision.</w:t>
      </w:r>
    </w:p>
    <w:p>
      <w:pPr>
        <w:pStyle w:val="Heading2"/>
      </w:pPr>
      <w:r>
        <w:t>MBR-COM-X03 — Quota Allocation vs Actual Usage</w:t>
      </w:r>
    </w:p>
    <w:p>
      <w:r>
        <w:t>**Previous:** CRITICAL / PROPOSED / GATE-1 DEPENDENT.</w:t>
      </w:r>
    </w:p>
    <w:p>
      <w:r>
        <w:t>**Updated:** CRITICAL / PROPOSED.</w:t>
      </w:r>
    </w:p>
    <w:p>
      <w:r>
        <w:t>The conceptual owner is now the single Agency/Organization context.</w:t>
      </w:r>
    </w:p>
    <w:p>
      <w:r>
        <w:t>The following semantics remain binding candidates:</w:t>
      </w:r>
    </w:p>
    <w:p>
      <w:r>
        <w:t>1. quota allocation ≠ actual usage;</w:t>
      </w:r>
    </w:p>
    <w:p>
      <w:r>
        <w:t>2. reducing allocation below existing usage does not delete existing listings solely because of the reduction;</w:t>
      </w:r>
    </w:p>
    <w:p>
      <w:r>
        <w:t>3. new listing/resource creation may be blocked when available allocation is insufficient;</w:t>
      </w:r>
    </w:p>
    <w:p>
      <w:r>
        <w:t>4. returned allocation follows the approved Agency/Organization pool policy;</w:t>
      </w:r>
    </w:p>
    <w:p>
      <w:r>
        <w:t>5. allocation and usage history must remain auditable.</w:t>
      </w:r>
    </w:p>
    <w:p>
      <w:r>
        <w:t>The exact technical model remains an ADR/ERD concern.</w:t>
      </w:r>
    </w:p>
    <w:p>
      <w:pPr>
        <w:pStyle w:val="Heading1"/>
      </w:pPr>
      <w:r>
        <w:t>4. Remaining Gate-1 questions</w:t>
      </w:r>
    </w:p>
    <w:p>
      <w:pPr>
        <w:pStyle w:val="Heading2"/>
      </w:pPr>
      <w:r>
        <w:t>4.1 Commercial Entitlement vs Organization Quota</w:t>
      </w:r>
    </w:p>
    <w:p>
      <w:r>
        <w:t>**STATUS: OPEN**</w:t>
      </w:r>
    </w:p>
    <w:p>
      <w:r>
        <w:t>The identity question is resolved, but the architecture still needs to decide whether:</w:t>
      </w:r>
    </w:p>
    <w:p>
      <w:r>
        <w:t>A. Commercial Entitlement is the source of Agency/Organization quota capacity, with the operational quota pool consuming that entitlement;</w:t>
      </w:r>
    </w:p>
    <w:p>
      <w:r>
        <w:t>or</w:t>
      </w:r>
    </w:p>
    <w:p>
      <w:r>
        <w:t>B. the existing Organization quota model is itself the authoritative commercial entitlement representation.</w:t>
      </w:r>
    </w:p>
    <w:p>
      <w:r>
        <w:t>This must be resolved before ERD.</w:t>
      </w:r>
    </w:p>
    <w:p>
      <w:pPr>
        <w:pStyle w:val="Heading2"/>
      </w:pPr>
      <w:r>
        <w:t>4.2 Payment placement</w:t>
      </w:r>
    </w:p>
    <w:p>
      <w:r>
        <w:t>**STATUS: OPEN**</w:t>
      </w:r>
    </w:p>
    <w:p>
      <w:r>
        <w:t>The Master BR does not decide whether Payment is:</w:t>
      </w:r>
    </w:p>
    <w:p>
      <w:pPr>
        <w:pStyle w:val="ListBullet"/>
      </w:pPr>
      <w:r>
        <w:t>a Commercial subdomain;</w:t>
      </w:r>
    </w:p>
    <w:p>
      <w:pPr>
        <w:pStyle w:val="ListBullet"/>
      </w:pPr>
      <w:r>
        <w:t>or a separate logical module bounded behind Commercial.</w:t>
      </w:r>
    </w:p>
    <w:p>
      <w:r>
        <w:t>The existing Commercial AEP/ADR candidates must settle this. This is architecture, not a Business Rule.</w:t>
      </w:r>
    </w:p>
    <w:p>
      <w:pPr>
        <w:pStyle w:val="Heading2"/>
      </w:pPr>
      <w:r>
        <w:t>4.3 Other ADR questions</w:t>
      </w:r>
    </w:p>
    <w:p>
      <w:r>
        <w:t>Remain open:</w:t>
      </w:r>
    </w:p>
    <w:p>
      <w:pPr>
        <w:pStyle w:val="ListBullet"/>
      </w:pPr>
      <w:r>
        <w:t>Subscription vs Entitlement vs RBAC architecture;</w:t>
      </w:r>
    </w:p>
    <w:p>
      <w:pPr>
        <w:pStyle w:val="ListBullet"/>
      </w:pPr>
      <w:r>
        <w:t>provider adapter architecture;</w:t>
      </w:r>
    </w:p>
    <w:p>
      <w:pPr>
        <w:pStyle w:val="ListBullet"/>
      </w:pPr>
      <w:r>
        <w:t>payment verification/idempotent fulfillment architecture;</w:t>
      </w:r>
    </w:p>
    <w:p>
      <w:pPr>
        <w:pStyle w:val="ListBullet"/>
      </w:pPr>
      <w:r>
        <w:t>reconciliation architecture;</w:t>
      </w:r>
    </w:p>
    <w:p>
      <w:pPr>
        <w:pStyle w:val="ListBullet"/>
      </w:pPr>
      <w:r>
        <w:t>purchase-time snapshot implementation;</w:t>
      </w:r>
    </w:p>
    <w:p>
      <w:pPr>
        <w:pStyle w:val="ListBullet"/>
      </w:pPr>
      <w:r>
        <w:t>cross-domain event contracts;</w:t>
      </w:r>
    </w:p>
    <w:p>
      <w:pPr>
        <w:pStyle w:val="ListBullet"/>
      </w:pPr>
      <w:r>
        <w:t>Learning Activity vs Course;</w:t>
      </w:r>
    </w:p>
    <w:p>
      <w:pPr>
        <w:pStyle w:val="ListBullet"/>
      </w:pPr>
      <w:r>
        <w:t>Certificate/Credential vs Title;</w:t>
      </w:r>
    </w:p>
    <w:p>
      <w:pPr>
        <w:pStyle w:val="ListBullet"/>
      </w:pPr>
      <w:r>
        <w:t>Calendar Event vs Learning Session.</w:t>
      </w:r>
    </w:p>
    <w:p>
      <w:pPr>
        <w:pStyle w:val="Heading1"/>
      </w:pPr>
      <w:r>
        <w:t>5. No-Silent-Loss Gate</w:t>
      </w:r>
    </w:p>
    <w:p>
      <w:pPr>
        <w:pStyle w:val="Heading2"/>
      </w:pPr>
      <w:r>
        <w:t>Legacy Master</w:t>
      </w:r>
    </w:p>
    <w:p>
      <w:r>
        <w:t>BR-001–BR-151 → **LOCKED / PRESERVED**</w:t>
      </w:r>
    </w:p>
    <w:p>
      <w:pPr>
        <w:pStyle w:val="Heading2"/>
      </w:pPr>
      <w:r>
        <w:t>Learning Session</w:t>
      </w:r>
    </w:p>
    <w:p>
      <w:r>
        <w:t>LS-001–LS-080 → **TRACEABLE**</w:t>
      </w:r>
    </w:p>
    <w:p>
      <w:r>
        <w:t>Covered through:</w:t>
      </w:r>
    </w:p>
    <w:p>
      <w:pPr>
        <w:pStyle w:val="ListBullet"/>
      </w:pPr>
      <w:r>
        <w:t>explicit Master BR;</w:t>
      </w:r>
    </w:p>
    <w:p>
      <w:pPr>
        <w:pStyle w:val="ListBullet"/>
      </w:pPr>
      <w:r>
        <w:t>derived cross-domain rule;</w:t>
      </w:r>
    </w:p>
    <w:p>
      <w:pPr>
        <w:pStyle w:val="ListBullet"/>
      </w:pPr>
      <w:r>
        <w:t>ADR;</w:t>
      </w:r>
    </w:p>
    <w:p>
      <w:pPr>
        <w:pStyle w:val="ListBullet"/>
      </w:pPr>
      <w:r>
        <w:t>technical classification;</w:t>
      </w:r>
    </w:p>
    <w:p>
      <w:pPr>
        <w:pStyle w:val="ListBullet"/>
      </w:pPr>
      <w:r>
        <w:t>pending policy where appropriate.</w:t>
      </w:r>
    </w:p>
    <w:p>
      <w:pPr>
        <w:pStyle w:val="Heading2"/>
      </w:pPr>
      <w:r>
        <w:t>Title</w:t>
      </w:r>
    </w:p>
    <w:p>
      <w:r>
        <w:t>Title 001–100 → **TRACEABLE**</w:t>
      </w:r>
    </w:p>
    <w:p>
      <w:r>
        <w:t>Material gaps are grouped into Master BR amendments without destroying the authoritative Title source.</w:t>
      </w:r>
    </w:p>
    <w:p>
      <w:pPr>
        <w:pStyle w:val="Heading2"/>
      </w:pPr>
      <w:r>
        <w:t>Commercial</w:t>
      </w:r>
    </w:p>
    <w:p>
      <w:r>
        <w:t>Commercial AEP → **TRACEABLE**</w:t>
      </w:r>
    </w:p>
    <w:p>
      <w:r>
        <w:t>Covered through:</w:t>
      </w:r>
    </w:p>
    <w:p>
      <w:pPr>
        <w:pStyle w:val="ListBullet"/>
      </w:pPr>
      <w:r>
        <w:t>MBR-COM-001–013;</w:t>
      </w:r>
    </w:p>
    <w:p>
      <w:pPr>
        <w:pStyle w:val="ListBullet"/>
      </w:pPr>
      <w:r>
        <w:t>nine material amendments;</w:t>
      </w:r>
    </w:p>
    <w:p>
      <w:pPr>
        <w:pStyle w:val="ListBullet"/>
      </w:pPr>
      <w:r>
        <w:t>ADR-MON-001–009;</w:t>
      </w:r>
    </w:p>
    <w:p>
      <w:pPr>
        <w:pStyle w:val="ListBullet"/>
      </w:pPr>
      <w:r>
        <w:t>remaining architectural decisions.</w:t>
      </w:r>
    </w:p>
    <w:p>
      <w:pPr>
        <w:pStyle w:val="Heading2"/>
      </w:pPr>
      <w:r>
        <w:t>Learning Economy</w:t>
      </w:r>
    </w:p>
    <w:p>
      <w:r>
        <w:t>Learning Economy remains authoritative and is not duplicated unnecessarily by Commercial or Learning Session.</w:t>
      </w:r>
    </w:p>
    <w:p>
      <w:pPr>
        <w:pStyle w:val="Heading2"/>
      </w:pPr>
      <w:r>
        <w:t>Result</w:t>
      </w:r>
    </w:p>
    <w:p>
      <w:r>
        <w:t>**NO-SILENT-LOSS GATE: PASS**</w:t>
      </w:r>
    </w:p>
    <w:p>
      <w:r>
        <w:t>No known normative source rule is silently discarded by this consolidation.</w:t>
      </w:r>
    </w:p>
    <w:p>
      <w:pPr>
        <w:pStyle w:val="Heading1"/>
      </w:pPr>
      <w:r>
        <w:t>6. Duplicate Authority Gate</w:t>
      </w:r>
    </w:p>
    <w:p>
      <w:pPr>
        <w:pStyle w:val="Heading2"/>
      </w:pPr>
      <w:r>
        <w:t>Result: PASS</w:t>
      </w:r>
    </w:p>
    <w:p>
      <w:r>
        <w:t>The consolidation preserves ownership boundaries:</w:t>
      </w:r>
    </w:p>
    <w:p>
      <w:pPr>
        <w:pStyle w:val="ListBullet"/>
      </w:pPr>
      <w:r>
        <w:t>Commercial → payment/commercial outcome;</w:t>
      </w:r>
    </w:p>
    <w:p>
      <w:pPr>
        <w:pStyle w:val="ListBullet"/>
      </w:pPr>
      <w:r>
        <w:t>Learning Economy → learning-point economy;</w:t>
      </w:r>
    </w:p>
    <w:p>
      <w:pPr>
        <w:pStyle w:val="ListBullet"/>
      </w:pPr>
      <w:r>
        <w:t>Learning Session → live learning session lifecycle;</w:t>
      </w:r>
    </w:p>
    <w:p>
      <w:pPr>
        <w:pStyle w:val="ListBullet"/>
      </w:pPr>
      <w:r>
        <w:t>Title → title qualification/awarding;</w:t>
      </w:r>
    </w:p>
    <w:p>
      <w:pPr>
        <w:pStyle w:val="ListBullet"/>
      </w:pPr>
      <w:r>
        <w:t>RBAC → authorization;</w:t>
      </w:r>
    </w:p>
    <w:p>
      <w:pPr>
        <w:pStyle w:val="ListBullet"/>
      </w:pPr>
      <w:r>
        <w:t>Agency/Organization → organizational context and membership.</w:t>
      </w:r>
    </w:p>
    <w:p>
      <w:r>
        <w:t>No domain is granted silent authority over another domain's authoritative state.</w:t>
      </w:r>
    </w:p>
    <w:p>
      <w:pPr>
        <w:pStyle w:val="Heading1"/>
      </w:pPr>
      <w:r>
        <w:t>7. Cross-Domain Mutation Gate</w:t>
      </w:r>
    </w:p>
    <w:p>
      <w:pPr>
        <w:pStyle w:val="Heading2"/>
      </w:pPr>
      <w:r>
        <w:t>Result: PASS</w:t>
      </w:r>
    </w:p>
    <w:p>
      <w:r>
        <w:t>Confirmed principles:</w:t>
      </w:r>
    </w:p>
    <w:p>
      <w:pPr>
        <w:pStyle w:val="ListBullet"/>
      </w:pPr>
      <w:r>
        <w:t>Commercial entitlement is not RBAC.</w:t>
      </w:r>
    </w:p>
    <w:p>
      <w:pPr>
        <w:pStyle w:val="ListBullet"/>
      </w:pPr>
      <w:r>
        <w:t>Payment confirmation does not directly become authorization.</w:t>
      </w:r>
    </w:p>
    <w:p>
      <w:pPr>
        <w:pStyle w:val="ListBullet"/>
      </w:pPr>
      <w:r>
        <w:t>Commercial purchase does not directly award Title.</w:t>
      </w:r>
    </w:p>
    <w:p>
      <w:pPr>
        <w:pStyle w:val="ListBullet"/>
      </w:pPr>
      <w:r>
        <w:t>Learning Session does not own Payment Gateway logic.</w:t>
      </w:r>
    </w:p>
    <w:p>
      <w:pPr>
        <w:pStyle w:val="ListBullet"/>
      </w:pPr>
      <w:r>
        <w:t>Provider status does not replace internal business authority.</w:t>
      </w:r>
    </w:p>
    <w:p>
      <w:pPr>
        <w:pStyle w:val="ListBullet"/>
      </w:pPr>
      <w:r>
        <w:t>Cross-domain changes require controlled contracts/workflows/events.</w:t>
      </w:r>
    </w:p>
    <w:p>
      <w:pPr>
        <w:pStyle w:val="Heading1"/>
      </w:pPr>
      <w:r>
        <w:t>8. Historical Integrity Gate</w:t>
      </w:r>
    </w:p>
    <w:p>
      <w:pPr>
        <w:pStyle w:val="Heading2"/>
      </w:pPr>
      <w:r>
        <w:t>Result: PASS</w:t>
      </w:r>
    </w:p>
    <w:p>
      <w:r>
        <w:t>The consolidated rules preserve the following invariant:</w:t>
      </w:r>
    </w:p>
    <w:p>
      <w:r>
        <w:t>&gt; Current configuration must not rewrite historical business outcomes.</w:t>
      </w:r>
    </w:p>
    <w:p>
      <w:r>
        <w:t>This applies to:</w:t>
      </w:r>
    </w:p>
    <w:p>
      <w:pPr>
        <w:pStyle w:val="ListBullet"/>
      </w:pPr>
      <w:r>
        <w:t>purchases;</w:t>
      </w:r>
    </w:p>
    <w:p>
      <w:pPr>
        <w:pStyle w:val="ListBullet"/>
      </w:pPr>
      <w:r>
        <w:t>promotion terms;</w:t>
      </w:r>
    </w:p>
    <w:p>
      <w:pPr>
        <w:pStyle w:val="ListBullet"/>
      </w:pPr>
      <w:r>
        <w:t>subscription transitions;</w:t>
      </w:r>
    </w:p>
    <w:p>
      <w:pPr>
        <w:pStyle w:val="ListBullet"/>
      </w:pPr>
      <w:r>
        <w:t>payment history;</w:t>
      </w:r>
    </w:p>
    <w:p>
      <w:pPr>
        <w:pStyle w:val="ListBullet"/>
      </w:pPr>
      <w:r>
        <w:t>entitlement provenance;</w:t>
      </w:r>
    </w:p>
    <w:p>
      <w:pPr>
        <w:pStyle w:val="ListBullet"/>
      </w:pPr>
      <w:r>
        <w:t>Title award history;</w:t>
      </w:r>
    </w:p>
    <w:p>
      <w:pPr>
        <w:pStyle w:val="ListBullet"/>
      </w:pPr>
      <w:r>
        <w:t>attendance/completion outcomes.</w:t>
      </w:r>
    </w:p>
    <w:p>
      <w:pPr>
        <w:pStyle w:val="Heading1"/>
      </w:pPr>
      <w:r>
        <w:t>9. Client Authority / Server Authority Gate</w:t>
      </w:r>
    </w:p>
    <w:p>
      <w:pPr>
        <w:pStyle w:val="Heading2"/>
      </w:pPr>
      <w:r>
        <w:t>Result: PASS</w:t>
      </w:r>
    </w:p>
    <w:p>
      <w:r>
        <w:t>Official business outcomes must be server-authoritative.</w:t>
      </w:r>
    </w:p>
    <w:p>
      <w:r>
        <w:t>Client input cannot manufacture:</w:t>
      </w:r>
    </w:p>
    <w:p>
      <w:pPr>
        <w:pStyle w:val="ListBullet"/>
      </w:pPr>
      <w:r>
        <w:t>attendance;</w:t>
      </w:r>
    </w:p>
    <w:p>
      <w:pPr>
        <w:pStyle w:val="ListBullet"/>
      </w:pPr>
      <w:r>
        <w:t>completion;</w:t>
      </w:r>
    </w:p>
    <w:p>
      <w:pPr>
        <w:pStyle w:val="ListBullet"/>
      </w:pPr>
      <w:r>
        <w:t>learning points;</w:t>
      </w:r>
    </w:p>
    <w:p>
      <w:pPr>
        <w:pStyle w:val="ListBullet"/>
      </w:pPr>
      <w:r>
        <w:t>competency;</w:t>
      </w:r>
    </w:p>
    <w:p>
      <w:pPr>
        <w:pStyle w:val="ListBullet"/>
      </w:pPr>
      <w:r>
        <w:t>commercial payment success;</w:t>
      </w:r>
    </w:p>
    <w:p>
      <w:pPr>
        <w:pStyle w:val="ListBullet"/>
      </w:pPr>
      <w:r>
        <w:t>entitlement;</w:t>
      </w:r>
    </w:p>
    <w:p>
      <w:pPr>
        <w:pStyle w:val="ListBullet"/>
      </w:pPr>
      <w:r>
        <w:t>Title award.</w:t>
      </w:r>
    </w:p>
    <w:p>
      <w:r>
        <w:t>This remains especially important for Learning Session and Commercial integration.</w:t>
      </w:r>
    </w:p>
    <w:p>
      <w:pPr>
        <w:pStyle w:val="Heading1"/>
      </w:pPr>
      <w:r>
        <w:t>10. Final Gate Status</w:t>
      </w:r>
    </w:p>
    <w:p>
      <w:pPr>
        <w:pStyle w:val="Heading2"/>
      </w:pPr>
      <w:r>
        <w:t>MASTER BUSINESS RULES</w:t>
      </w:r>
    </w:p>
    <w:p>
      <w:r>
        <w:t>**STATUS: NOT YET LOCKED**</w:t>
      </w:r>
    </w:p>
    <w:p>
      <w:r>
        <w:t>Reason:</w:t>
      </w:r>
    </w:p>
    <w:p>
      <w:r>
        <w:t>Only two substantive governance questions remain:</w:t>
      </w:r>
    </w:p>
    <w:p>
      <w:r>
        <w:t>1. **Commercial Entitlement vs Agency/Organization Quota authority**</w:t>
      </w:r>
    </w:p>
    <w:p>
      <w:r>
        <w:t>2. **Payment placement/boundary inside Commercial architecture**</w:t>
      </w:r>
    </w:p>
    <w:p>
      <w:r>
        <w:t>These are architectural decisions and should be resolved through ADR, not invented inside the Master BR.</w:t>
      </w:r>
    </w:p>
    <w:p>
      <w:r>
        <w:t>The Agency = Organization identity blocker is **RESOLVED**.</w:t>
      </w:r>
    </w:p>
    <w:p>
      <w:pPr>
        <w:pStyle w:val="Heading1"/>
      </w:pPr>
      <w:r>
        <w:t>11. Leadership Decision</w:t>
      </w:r>
    </w:p>
    <w:p>
      <w:r>
        <w:t>The Master BR is now **ready to move into the Master ADR Register** for the remaining architecture questions.</w:t>
      </w:r>
    </w:p>
    <w:p>
      <w:r>
        <w:t>However, the Master BR should remain in **GOVERNANCE GATE / PROVISIONAL LOCK** until the relevant ADRs are decided and the resulting architectural consequences are synchronized back into:</w:t>
      </w:r>
    </w:p>
    <w:p>
      <w:pPr>
        <w:pStyle w:val="ListBullet"/>
      </w:pPr>
      <w:r>
        <w:t>Master AEP;</w:t>
      </w:r>
    </w:p>
    <w:p>
      <w:pPr>
        <w:pStyle w:val="ListBullet"/>
      </w:pPr>
      <w:r>
        <w:t>Commercial AEP;</w:t>
      </w:r>
    </w:p>
    <w:p>
      <w:pPr>
        <w:pStyle w:val="ListBullet"/>
      </w:pPr>
      <w:r>
        <w:t>Title AEP;</w:t>
      </w:r>
    </w:p>
    <w:p>
      <w:pPr>
        <w:pStyle w:val="ListBullet"/>
      </w:pPr>
      <w:r>
        <w:t>Learning Economy AEP;</w:t>
      </w:r>
    </w:p>
    <w:p>
      <w:pPr>
        <w:pStyle w:val="ListBullet"/>
      </w:pPr>
      <w:r>
        <w:t>Learning Session AEP;</w:t>
      </w:r>
    </w:p>
    <w:p>
      <w:pPr>
        <w:pStyle w:val="ListBullet"/>
      </w:pPr>
      <w:r>
        <w:t>Master Business Rules.</w:t>
      </w:r>
    </w:p>
    <w:p>
      <w:pPr>
        <w:pStyle w:val="Heading1"/>
      </w:pPr>
      <w:r>
        <w:t>12. Next Controlled Sequence</w:t>
      </w:r>
    </w:p>
    <w:p>
      <w:r>
        <w:t>MASTER BR FINAL TRACEABILITY GATE</w:t>
      </w:r>
    </w:p>
    <w:p>
      <w:r>
        <w:t>→ **PASS**</w:t>
      </w:r>
    </w:p>
    <w:p>
      <w:r>
        <w:t>Agency = Organization</w:t>
      </w:r>
    </w:p>
    <w:p>
      <w:r>
        <w:t>→ **RESOLVED**</w:t>
      </w:r>
    </w:p>
    <w:p>
      <w:r>
        <w:t>Remaining architecture questions</w:t>
      </w:r>
    </w:p>
    <w:p>
      <w:r>
        <w:t>→ **MASTER ADR REGISTER**</w:t>
      </w:r>
    </w:p>
    <w:p>
      <w:r>
        <w:t>ADR prioritization</w:t>
      </w:r>
    </w:p>
    <w:p>
      <w:r>
        <w:t>→ **ADR-001**</w:t>
      </w:r>
    </w:p>
    <w:p>
      <w:r>
        <w:t>ADR decision</w:t>
      </w:r>
    </w:p>
    <w:p>
      <w:r>
        <w:t>→ AEP synchronization</w:t>
      </w:r>
    </w:p>
    <w:p>
      <w:r>
        <w:t>AEP synchronization</w:t>
      </w:r>
    </w:p>
    <w:p>
      <w:r>
        <w:t>→ Master BR synchronization</w:t>
      </w:r>
    </w:p>
    <w:p>
      <w:r>
        <w:t>After all required ADRs:</w:t>
      </w:r>
    </w:p>
    <w:p>
      <w:r>
        <w:t>→ **MASTER BR LOCK**</w:t>
      </w:r>
    </w:p>
    <w:p>
      <w:r>
        <w:t>Then:</w:t>
      </w:r>
    </w:p>
    <w:p>
      <w:r>
        <w:t>→ Domain Model</w:t>
      </w:r>
    </w:p>
    <w:p>
      <w:r>
        <w:t>→ ERD</w:t>
      </w:r>
    </w:p>
    <w:p>
      <w:r>
        <w:t>→ API Contract</w:t>
      </w:r>
    </w:p>
    <w:p>
      <w:r>
        <w:t>→ RBAC</w:t>
      </w:r>
    </w:p>
    <w:p>
      <w:r>
        <w:t>→ PRD</w:t>
      </w:r>
    </w:p>
    <w:p>
      <w:r>
        <w:t>→ technical specifications</w:t>
      </w:r>
    </w:p>
    <w:p>
      <w:r>
        <w:t>→ implementation.</w:t>
      </w:r>
    </w:p>
    <w:p>
      <w:pPr>
        <w:pStyle w:val="Heading1"/>
      </w:pPr>
      <w:r>
        <w:t>13. Important Governance Rule</w:t>
      </w:r>
    </w:p>
    <w:p>
      <w:r>
        <w:t>No developer, AI coding agent, ERD designer, or implementation tool may infer the two remaining open architecture questions.</w:t>
      </w:r>
    </w:p>
    <w:p>
      <w:r>
        <w:t>Until their ADRs are decided:</w:t>
      </w:r>
    </w:p>
    <w:p>
      <w:r>
        <w:t>**Commercial Entitlement ≠ automatically defined as the Organization quota source.**</w:t>
      </w:r>
    </w:p>
    <w:p>
      <w:r>
        <w:t>**Payment placement ≠ automatically defined as a separate domain or subdomain.**</w:t>
      </w:r>
    </w:p>
    <w:p>
      <w:r>
        <w:t>Those decisions belong to ADR governance.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