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RUMAHAGEN — Cross-AEP Consolidation</w:t>
      </w:r>
    </w:p>
    <w:p>
      <w:pPr>
        <w:jc w:val="center"/>
      </w:pPr>
      <w:r>
        <w:rPr>
          <w:b/>
          <w:sz w:val="24"/>
        </w:rPr>
        <w:t>STEP 02 — Cross-AEP Architecture Delta &amp; Dependency Specification</w:t>
      </w:r>
    </w:p>
    <w:p>
      <w:pPr>
        <w:jc w:val="center"/>
      </w:pPr>
      <w:r>
        <w:rPr>
          <w:i/>
        </w:rPr>
        <w:t>Version 1.0 | 16 August 2026 | STATUS: STEP 02 COMPLETED</w:t>
      </w:r>
    </w:p>
    <w:p>
      <w:pPr>
        <w:pStyle w:val="Heading1"/>
      </w:pPr>
      <w:r>
        <w:t>1. Purpose</w:t>
      </w:r>
    </w:p>
    <w:p>
      <w:r>
        <w:t>This artifact converts the approved Step 01 Cross-AEP Consolidation Matrix into a controlled project-wide architecture delta and dependency specification. It defines cross-domain ownership, shared semantic concepts, handoff contracts, dependency ordering, stale-document corrections, and the baseline families that must later receive the global synchronization pass. It does not rewrite the global baseline and does not authorize physical implementation.</w:t>
      </w:r>
    </w:p>
    <w:p>
      <w:pPr>
        <w:pStyle w:val="Heading1"/>
      </w:pPr>
      <w:r>
        <w:t>2. Governing Rules</w:t>
      </w:r>
    </w:p>
    <w:p>
      <w:pPr>
        <w:pStyle w:val="ListBullet"/>
      </w:pPr>
      <w:r>
        <w:t>The locked AEP execution order remains AEP #1 → AEP #2 → AEP #3 → AEP #4.</w:t>
      </w:r>
    </w:p>
    <w:p>
      <w:pPr>
        <w:pStyle w:val="ListBullet"/>
      </w:pPr>
      <w:r>
        <w:t>Approved MADCR/ADR decisions remain authoritative within their explicit boundaries.</w:t>
      </w:r>
    </w:p>
    <w:p>
      <w:pPr>
        <w:pStyle w:val="ListBullet"/>
      </w:pPr>
      <w:r>
        <w:t>Business Rules remain normative for business behavior; AEP artifacts define controlled architecture impacts.</w:t>
      </w:r>
    </w:p>
    <w:p>
      <w:pPr>
        <w:pStyle w:val="ListBullet"/>
      </w:pPr>
      <w:r>
        <w:t>Cross-AEP consolidation may establish integration boundaries but must not silently close an independent Open Decision.</w:t>
      </w:r>
    </w:p>
    <w:p>
      <w:pPr>
        <w:pStyle w:val="ListBullet"/>
      </w:pPr>
      <w:r>
        <w:t>Global project-wide baseline synchronization occurs after this consolidation phase.</w:t>
      </w:r>
    </w:p>
    <w:p>
      <w:pPr>
        <w:pStyle w:val="ListBullet"/>
      </w:pPr>
      <w:r>
        <w:t>Where a legacy document conflicts with a newer governing AEP decision, the newer governing decision is the canonical semantic source; historical artifacts remain audit evidence.</w:t>
      </w:r>
    </w:p>
    <w:p>
      <w:pPr>
        <w:pStyle w:val="ListBullet"/>
      </w:pPr>
      <w:r>
        <w:t>Physical table/column/FK/API endpoint/RBAC-ID/migration details remain downstream unless already explicitly governed.</w:t>
      </w:r>
    </w:p>
    <w:p>
      <w:pPr>
        <w:pStyle w:val="Heading1"/>
      </w:pPr>
      <w:r>
        <w:t>3. Canonical Cross-AEP Domain Model</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t>Domain</w:t>
            </w:r>
          </w:p>
        </w:tc>
        <w:tc>
          <w:tcPr>
            <w:tcW w:type="dxa" w:w="1728"/>
          </w:tcPr>
          <w:p>
            <w:r>
              <w:t>Owns</w:t>
            </w:r>
          </w:p>
        </w:tc>
        <w:tc>
          <w:tcPr>
            <w:tcW w:type="dxa" w:w="1728"/>
          </w:tcPr>
          <w:p>
            <w:r>
              <w:t>Consumes</w:t>
            </w:r>
          </w:p>
        </w:tc>
        <w:tc>
          <w:tcPr>
            <w:tcW w:type="dxa" w:w="1728"/>
          </w:tcPr>
          <w:p>
            <w:r>
              <w:t>Provides</w:t>
            </w:r>
          </w:p>
        </w:tc>
        <w:tc>
          <w:tcPr>
            <w:tcW w:type="dxa" w:w="1728"/>
          </w:tcPr>
          <w:p>
            <w:r>
              <w:t>Must Not Own</w:t>
            </w:r>
          </w:p>
        </w:tc>
        <w:tc>
          <w:tcPr>
            <w:tcW w:type="dxa" w:w="1728"/>
          </w:tcPr>
          <w:p>
            <w:r>
              <w:t>Primary Governance</w:t>
            </w:r>
          </w:p>
        </w:tc>
      </w:tr>
      <w:tr>
        <w:tc>
          <w:tcPr>
            <w:tcW w:type="dxa" w:w="1728"/>
          </w:tcPr>
          <w:p>
            <w:r>
              <w:t>Commercial / Payment</w:t>
            </w:r>
          </w:p>
        </w:tc>
        <w:tc>
          <w:tcPr>
            <w:tcW w:type="dxa" w:w="1728"/>
          </w:tcPr>
          <w:p>
            <w:r>
              <w:t>Subscription, Commercial Entitlement, Payment Core, provider adapter, verification, idempotent fulfillment, reconciliation, historical commercial snapshot</w:t>
            </w:r>
          </w:p>
        </w:tc>
        <w:tc>
          <w:tcPr>
            <w:tcW w:type="dxa" w:w="1728"/>
          </w:tcPr>
          <w:p>
            <w:r>
              <w:t>Identity, product/configuration, payment initiation context</w:t>
            </w:r>
          </w:p>
        </w:tc>
        <w:tc>
          <w:tcPr>
            <w:tcW w:type="dxa" w:w="1728"/>
          </w:tcPr>
          <w:p>
            <w:r>
              <w:t>Trusted payment outcome, entitlement/access outcome, commercial snapshot</w:t>
            </w:r>
          </w:p>
        </w:tc>
        <w:tc>
          <w:tcPr>
            <w:tcW w:type="dxa" w:w="1728"/>
          </w:tcPr>
          <w:p>
            <w:r>
              <w:t>Learning Points, attendance, competency, Title/Award Instance</w:t>
            </w:r>
          </w:p>
        </w:tc>
        <w:tc>
          <w:tcPr>
            <w:tcW w:type="dxa" w:w="1728"/>
          </w:tcPr>
          <w:p>
            <w:r>
              <w:t>MADCR-010, MADCR-011, MADCR-002, MADCR-003, MADCR-005; MON-006</w:t>
            </w:r>
          </w:p>
        </w:tc>
      </w:tr>
      <w:tr>
        <w:tc>
          <w:tcPr>
            <w:tcW w:type="dxa" w:w="1728"/>
          </w:tcPr>
          <w:p>
            <w:r>
              <w:t>Learning Economy</w:t>
            </w:r>
          </w:p>
        </w:tc>
        <w:tc>
          <w:tcPr>
            <w:tcW w:type="dxa" w:w="1728"/>
          </w:tcPr>
          <w:p>
            <w:r>
              <w:t>Learning activities/progression, LP ledger, skill/credential progression, internal learning economy</w:t>
            </w:r>
          </w:p>
        </w:tc>
        <w:tc>
          <w:tcPr>
            <w:tcW w:type="dxa" w:w="1728"/>
          </w:tcPr>
          <w:p>
            <w:r>
              <w:t>Trusted commercial outcomes, learning evidence/session completion where applicable</w:t>
            </w:r>
          </w:p>
        </w:tc>
        <w:tc>
          <w:tcPr>
            <w:tcW w:type="dxa" w:w="1728"/>
          </w:tcPr>
          <w:p>
            <w:r>
              <w:t>Learning progression state, LP transaction outcome, qualification evidence</w:t>
            </w:r>
          </w:p>
        </w:tc>
        <w:tc>
          <w:tcPr>
            <w:tcW w:type="dxa" w:w="1728"/>
          </w:tcPr>
          <w:p>
            <w:r>
              <w:t>Payment processing, Award Instance authority, provider truth</w:t>
            </w:r>
          </w:p>
        </w:tc>
        <w:tc>
          <w:tcPr>
            <w:tcW w:type="dxa" w:w="1728"/>
          </w:tcPr>
          <w:p>
            <w:r>
              <w:t>AEP2 locked ADR-LE set; Business Rules; MADCR-049 residual</w:t>
            </w:r>
          </w:p>
        </w:tc>
      </w:tr>
      <w:tr>
        <w:tc>
          <w:tcPr>
            <w:tcW w:type="dxa" w:w="1728"/>
          </w:tcPr>
          <w:p>
            <w:r>
              <w:t>Learning Session</w:t>
            </w:r>
          </w:p>
        </w:tc>
        <w:tc>
          <w:tcPr>
            <w:tcW w:type="dxa" w:w="1728"/>
          </w:tcPr>
          <w:p>
            <w:r>
              <w:t>Session lifecycle, taxonomy, enrollment, provider binding, participation evidence normalization, attendance/completion policy boundary</w:t>
            </w:r>
          </w:p>
        </w:tc>
        <w:tc>
          <w:tcPr>
            <w:tcW w:type="dxa" w:w="1728"/>
          </w:tcPr>
          <w:p>
            <w:r>
              <w:t>Commercial access outcome, authorization, Event Calendar context, provider evidence</w:t>
            </w:r>
          </w:p>
        </w:tc>
        <w:tc>
          <w:tcPr>
            <w:tcW w:type="dxa" w:w="1728"/>
          </w:tcPr>
          <w:p>
            <w:r>
              <w:t>Session status, enrollment state, normalized participation/completion evidence</w:t>
            </w:r>
          </w:p>
        </w:tc>
        <w:tc>
          <w:tcPr>
            <w:tcW w:type="dxa" w:w="1728"/>
          </w:tcPr>
          <w:p>
            <w:r>
              <w:t>Payment authority, LP issuance, Credential/Title issuance</w:t>
            </w:r>
          </w:p>
        </w:tc>
        <w:tc>
          <w:tcPr>
            <w:tcW w:type="dxa" w:w="1728"/>
          </w:tcPr>
          <w:p>
            <w:r>
              <w:t>AEP4 OD-01…17 package; MADCR-053/054 dependencies</w:t>
            </w:r>
          </w:p>
        </w:tc>
      </w:tr>
      <w:tr>
        <w:tc>
          <w:tcPr>
            <w:tcW w:type="dxa" w:w="1728"/>
          </w:tcPr>
          <w:p>
            <w:r>
              <w:t>Title / Awarding</w:t>
            </w:r>
          </w:p>
        </w:tc>
        <w:tc>
          <w:tcPr>
            <w:tcW w:type="dxa" w:w="1728"/>
          </w:tcPr>
          <w:p>
            <w:r>
              <w:t>Title identity, Awarding Path Version, Awarding Rule Version, Award Instance, award provenance</w:t>
            </w:r>
          </w:p>
        </w:tc>
        <w:tc>
          <w:tcPr>
            <w:tcW w:type="dxa" w:w="1728"/>
          </w:tcPr>
          <w:p>
            <w:r>
              <w:t>Learning/partner evidence and qualification inputs</w:t>
            </w:r>
          </w:p>
        </w:tc>
        <w:tc>
          <w:tcPr>
            <w:tcW w:type="dxa" w:w="1728"/>
          </w:tcPr>
          <w:p>
            <w:r>
              <w:t>Qualification/award outcome and historical provenance</w:t>
            </w:r>
          </w:p>
        </w:tc>
        <w:tc>
          <w:tcPr>
            <w:tcW w:type="dxa" w:w="1728"/>
          </w:tcPr>
          <w:p>
            <w:r>
              <w:t>Payment, raw provider evidence, Learning Point ledger</w:t>
            </w:r>
          </w:p>
        </w:tc>
        <w:tc>
          <w:tcPr>
            <w:tcW w:type="dxa" w:w="1728"/>
          </w:tcPr>
          <w:p>
            <w:r>
              <w:t>MADCR-036, 037, 041, 046; AEP3 decisions</w:t>
            </w:r>
          </w:p>
        </w:tc>
      </w:tr>
      <w:tr>
        <w:tc>
          <w:tcPr>
            <w:tcW w:type="dxa" w:w="1728"/>
          </w:tcPr>
          <w:p>
            <w:r>
              <w:t>Authorization</w:t>
            </w:r>
          </w:p>
        </w:tc>
        <w:tc>
          <w:tcPr>
            <w:tcW w:type="dxa" w:w="1728"/>
          </w:tcPr>
          <w:p>
            <w:r>
              <w:t>Role, capability permission, Authority/Scope Binding, enforcement</w:t>
            </w:r>
          </w:p>
        </w:tc>
        <w:tc>
          <w:tcPr>
            <w:tcW w:type="dxa" w:w="1728"/>
          </w:tcPr>
          <w:p>
            <w:r>
              <w:t>Actor identity and domain context</w:t>
            </w:r>
          </w:p>
        </w:tc>
        <w:tc>
          <w:tcPr>
            <w:tcW w:type="dxa" w:w="1728"/>
          </w:tcPr>
          <w:p>
            <w:r>
              <w:t>Permit/deny action authority</w:t>
            </w:r>
          </w:p>
        </w:tc>
        <w:tc>
          <w:tcPr>
            <w:tcW w:type="dxa" w:w="1728"/>
          </w:tcPr>
          <w:p>
            <w:r>
              <w:t>Business qualification, commercial entitlement, learning outcome</w:t>
            </w:r>
          </w:p>
        </w:tc>
        <w:tc>
          <w:tcPr>
            <w:tcW w:type="dxa" w:w="1728"/>
          </w:tcPr>
          <w:p>
            <w:r>
              <w:t>AEP3-OD-06; MADCR-053/054 dependencies</w:t>
            </w:r>
          </w:p>
        </w:tc>
      </w:tr>
      <w:tr>
        <w:tc>
          <w:tcPr>
            <w:tcW w:type="dxa" w:w="1728"/>
          </w:tcPr>
          <w:p>
            <w:r>
              <w:t>Event Calendar / Discovery</w:t>
            </w:r>
          </w:p>
        </w:tc>
        <w:tc>
          <w:tcPr>
            <w:tcW w:type="dxa" w:w="1728"/>
          </w:tcPr>
          <w:p>
            <w:r>
              <w:t>Event discovery/presentation and RSVP context</w:t>
            </w:r>
          </w:p>
        </w:tc>
        <w:tc>
          <w:tcPr>
            <w:tcW w:type="dxa" w:w="1728"/>
          </w:tcPr>
          <w:p>
            <w:r>
              <w:t>Learning Session references</w:t>
            </w:r>
          </w:p>
        </w:tc>
        <w:tc>
          <w:tcPr>
            <w:tcW w:type="dxa" w:w="1728"/>
          </w:tcPr>
          <w:p>
            <w:r>
              <w:t>Discovery/presentation context</w:t>
            </w:r>
          </w:p>
        </w:tc>
        <w:tc>
          <w:tcPr>
            <w:tcW w:type="dxa" w:w="1728"/>
          </w:tcPr>
          <w:p>
            <w:r>
              <w:t>Session semantic identity, Session Enrollment authority</w:t>
            </w:r>
          </w:p>
        </w:tc>
        <w:tc>
          <w:tcPr>
            <w:tcW w:type="dxa" w:w="1728"/>
          </w:tcPr>
          <w:p>
            <w:r>
              <w:t>AEP4 controlled reconciliation</w:t>
            </w:r>
          </w:p>
        </w:tc>
      </w:tr>
    </w:tbl>
    <w:p>
      <w:pPr>
        <w:pStyle w:val="Heading1"/>
      </w:pPr>
      <w:r>
        <w:t>4. Shared Semantic Concepts and Ownership</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Concept</w:t>
            </w:r>
          </w:p>
        </w:tc>
        <w:tc>
          <w:tcPr>
            <w:tcW w:type="dxa" w:w="2074"/>
          </w:tcPr>
          <w:p>
            <w:r>
              <w:t>Canonical Owner</w:t>
            </w:r>
          </w:p>
        </w:tc>
        <w:tc>
          <w:tcPr>
            <w:tcW w:type="dxa" w:w="2074"/>
          </w:tcPr>
          <w:p>
            <w:r>
              <w:t>Cross-AEP Use</w:t>
            </w:r>
          </w:p>
        </w:tc>
        <w:tc>
          <w:tcPr>
            <w:tcW w:type="dxa" w:w="2074"/>
          </w:tcPr>
          <w:p>
            <w:r>
              <w:t>Invariant</w:t>
            </w:r>
          </w:p>
        </w:tc>
        <w:tc>
          <w:tcPr>
            <w:tcW w:type="dxa" w:w="2074"/>
          </w:tcPr>
          <w:p>
            <w:r>
              <w:t>Global Baseline Impact</w:t>
            </w:r>
          </w:p>
        </w:tc>
      </w:tr>
      <w:tr>
        <w:tc>
          <w:tcPr>
            <w:tcW w:type="dxa" w:w="2074"/>
          </w:tcPr>
          <w:p>
            <w:r>
              <w:t>Agent/User Identity</w:t>
            </w:r>
          </w:p>
        </w:tc>
        <w:tc>
          <w:tcPr>
            <w:tcW w:type="dxa" w:w="2074"/>
          </w:tcPr>
          <w:p>
            <w:r>
              <w:t>Existing identity authority</w:t>
            </w:r>
          </w:p>
        </w:tc>
        <w:tc>
          <w:tcPr>
            <w:tcW w:type="dxa" w:w="2074"/>
          </w:tcPr>
          <w:p>
            <w:r>
              <w:t>All AEPs</w:t>
            </w:r>
          </w:p>
        </w:tc>
        <w:tc>
          <w:tcPr>
            <w:tcW w:type="dxa" w:w="2074"/>
          </w:tcPr>
          <w:p>
            <w:r>
              <w:t>No AEP creates a second identity authority.</w:t>
            </w:r>
          </w:p>
        </w:tc>
        <w:tc>
          <w:tcPr>
            <w:tcW w:type="dxa" w:w="2074"/>
          </w:tcPr>
          <w:p>
            <w:r>
              <w:t>ERD/RBAC/API</w:t>
            </w:r>
          </w:p>
        </w:tc>
      </w:tr>
      <w:tr>
        <w:tc>
          <w:tcPr>
            <w:tcW w:type="dxa" w:w="2074"/>
          </w:tcPr>
          <w:p>
            <w:r>
              <w:t>Commercial Entitlement</w:t>
            </w:r>
          </w:p>
        </w:tc>
        <w:tc>
          <w:tcPr>
            <w:tcW w:type="dxa" w:w="2074"/>
          </w:tcPr>
          <w:p>
            <w:r>
              <w:t>Commercial</w:t>
            </w:r>
          </w:p>
        </w:tc>
        <w:tc>
          <w:tcPr>
            <w:tcW w:type="dxa" w:w="2074"/>
          </w:tcPr>
          <w:p>
            <w:r>
              <w:t>Session access, learning purchase/acceleration where applicable</w:t>
            </w:r>
          </w:p>
        </w:tc>
        <w:tc>
          <w:tcPr>
            <w:tcW w:type="dxa" w:w="2074"/>
          </w:tcPr>
          <w:p>
            <w:r>
              <w:t>Entitlement ≠ Subscription ≠ RBAC.</w:t>
            </w:r>
          </w:p>
        </w:tc>
        <w:tc>
          <w:tcPr>
            <w:tcW w:type="dxa" w:w="2074"/>
          </w:tcPr>
          <w:p>
            <w:r>
              <w:t>ERD/API/RBAC/PRD</w:t>
            </w:r>
          </w:p>
        </w:tc>
      </w:tr>
      <w:tr>
        <w:tc>
          <w:tcPr>
            <w:tcW w:type="dxa" w:w="2074"/>
          </w:tcPr>
          <w:p>
            <w:r>
              <w:t>Payment Transaction / Order</w:t>
            </w:r>
          </w:p>
        </w:tc>
        <w:tc>
          <w:tcPr>
            <w:tcW w:type="dxa" w:w="2074"/>
          </w:tcPr>
          <w:p>
            <w:r>
              <w:t>Commercial/Payment</w:t>
            </w:r>
          </w:p>
        </w:tc>
        <w:tc>
          <w:tcPr>
            <w:tcW w:type="dxa" w:w="2074"/>
          </w:tcPr>
          <w:p>
            <w:r>
              <w:t>Learning and downstream provenance</w:t>
            </w:r>
          </w:p>
        </w:tc>
        <w:tc>
          <w:tcPr>
            <w:tcW w:type="dxa" w:w="2074"/>
          </w:tcPr>
          <w:p>
            <w:r>
              <w:t>Payment state is not duplicated as domain authority.</w:t>
            </w:r>
          </w:p>
        </w:tc>
        <w:tc>
          <w:tcPr>
            <w:tcW w:type="dxa" w:w="2074"/>
          </w:tcPr>
          <w:p>
            <w:r>
              <w:t>ERD/API</w:t>
            </w:r>
          </w:p>
        </w:tc>
      </w:tr>
      <w:tr>
        <w:tc>
          <w:tcPr>
            <w:tcW w:type="dxa" w:w="2074"/>
          </w:tcPr>
          <w:p>
            <w:r>
              <w:t>Learning Point Transaction</w:t>
            </w:r>
          </w:p>
        </w:tc>
        <w:tc>
          <w:tcPr>
            <w:tcW w:type="dxa" w:w="2074"/>
          </w:tcPr>
          <w:p>
            <w:r>
              <w:t>Learning Economy</w:t>
            </w:r>
          </w:p>
        </w:tc>
        <w:tc>
          <w:tcPr>
            <w:tcW w:type="dxa" w:w="2074"/>
          </w:tcPr>
          <w:p>
            <w:r>
              <w:t>Progression/skill/learning redemption</w:t>
            </w:r>
          </w:p>
        </w:tc>
        <w:tc>
          <w:tcPr>
            <w:tcW w:type="dxa" w:w="2074"/>
          </w:tcPr>
          <w:p>
            <w:r>
              <w:t>Earned/Purchased/Used semantics and provenance remain reconstructable.</w:t>
            </w:r>
          </w:p>
        </w:tc>
        <w:tc>
          <w:tcPr>
            <w:tcW w:type="dxa" w:w="2074"/>
          </w:tcPr>
          <w:p>
            <w:r>
              <w:t>ERD/API/BR</w:t>
            </w:r>
          </w:p>
        </w:tc>
      </w:tr>
      <w:tr>
        <w:tc>
          <w:tcPr>
            <w:tcW w:type="dxa" w:w="2074"/>
          </w:tcPr>
          <w:p>
            <w:r>
              <w:t>Learning Activity</w:t>
            </w:r>
          </w:p>
        </w:tc>
        <w:tc>
          <w:tcPr>
            <w:tcW w:type="dxa" w:w="2074"/>
          </w:tcPr>
          <w:p>
            <w:r>
              <w:t>Learning / cross-domain evidence boundary</w:t>
            </w:r>
          </w:p>
        </w:tc>
        <w:tc>
          <w:tcPr>
            <w:tcW w:type="dxa" w:w="2074"/>
          </w:tcPr>
          <w:p>
            <w:r>
              <w:t>Session completion and awarding qualification may consume it</w:t>
            </w:r>
          </w:p>
        </w:tc>
        <w:tc>
          <w:tcPr>
            <w:tcW w:type="dxa" w:w="2074"/>
          </w:tcPr>
          <w:p>
            <w:r>
              <w:t>Final authoritative model remains conditional on MADCR-049.</w:t>
            </w:r>
          </w:p>
        </w:tc>
        <w:tc>
          <w:tcPr>
            <w:tcW w:type="dxa" w:w="2074"/>
          </w:tcPr>
          <w:p>
            <w:r>
              <w:t>ERD/API/BR</w:t>
            </w:r>
          </w:p>
        </w:tc>
      </w:tr>
      <w:tr>
        <w:tc>
          <w:tcPr>
            <w:tcW w:type="dxa" w:w="2074"/>
          </w:tcPr>
          <w:p>
            <w:r>
              <w:t>Learning Session</w:t>
            </w:r>
          </w:p>
        </w:tc>
        <w:tc>
          <w:tcPr>
            <w:tcW w:type="dxa" w:w="2074"/>
          </w:tcPr>
          <w:p>
            <w:r>
              <w:t>Learning Session</w:t>
            </w:r>
          </w:p>
        </w:tc>
        <w:tc>
          <w:tcPr>
            <w:tcW w:type="dxa" w:w="2074"/>
          </w:tcPr>
          <w:p>
            <w:r>
              <w:t>Course/live/on-demand/broadcast interaction</w:t>
            </w:r>
          </w:p>
        </w:tc>
        <w:tc>
          <w:tcPr>
            <w:tcW w:type="dxa" w:w="2074"/>
          </w:tcPr>
          <w:p>
            <w:r>
              <w:t>Provider session ID is not semantic session identity.</w:t>
            </w:r>
          </w:p>
        </w:tc>
        <w:tc>
          <w:tcPr>
            <w:tcW w:type="dxa" w:w="2074"/>
          </w:tcPr>
          <w:p>
            <w:r>
              <w:t>ERD/API/PRD/User Flow</w:t>
            </w:r>
          </w:p>
        </w:tc>
      </w:tr>
      <w:tr>
        <w:tc>
          <w:tcPr>
            <w:tcW w:type="dxa" w:w="2074"/>
          </w:tcPr>
          <w:p>
            <w:r>
              <w:t>Session Enrollment</w:t>
            </w:r>
          </w:p>
        </w:tc>
        <w:tc>
          <w:tcPr>
            <w:tcW w:type="dxa" w:w="2074"/>
          </w:tcPr>
          <w:p>
            <w:r>
              <w:t>Learning Session</w:t>
            </w:r>
          </w:p>
        </w:tc>
        <w:tc>
          <w:tcPr>
            <w:tcW w:type="dxa" w:w="2074"/>
          </w:tcPr>
          <w:p>
            <w:r>
              <w:t>Access lifecycle</w:t>
            </w:r>
          </w:p>
        </w:tc>
        <w:tc>
          <w:tcPr>
            <w:tcW w:type="dxa" w:w="2074"/>
          </w:tcPr>
          <w:p>
            <w:r>
              <w:t>PENDING → ACTIVE → COMPLETED; payment success is not itself ACTIVE.</w:t>
            </w:r>
          </w:p>
        </w:tc>
        <w:tc>
          <w:tcPr>
            <w:tcW w:type="dxa" w:w="2074"/>
          </w:tcPr>
          <w:p>
            <w:r>
              <w:t>ERD/API/RBAC/User Flow</w:t>
            </w:r>
          </w:p>
        </w:tc>
      </w:tr>
      <w:tr>
        <w:tc>
          <w:tcPr>
            <w:tcW w:type="dxa" w:w="2074"/>
          </w:tcPr>
          <w:p>
            <w:r>
              <w:t>Provider Binding</w:t>
            </w:r>
          </w:p>
        </w:tc>
        <w:tc>
          <w:tcPr>
            <w:tcW w:type="dxa" w:w="2074"/>
          </w:tcPr>
          <w:p>
            <w:r>
              <w:t>Learning Session / Provider Adapter</w:t>
            </w:r>
          </w:p>
        </w:tc>
        <w:tc>
          <w:tcPr>
            <w:tcW w:type="dxa" w:w="2074"/>
          </w:tcPr>
          <w:p>
            <w:r>
              <w:t>Daily/Zoom/Meet/LiveKit or future providers</w:t>
            </w:r>
          </w:p>
        </w:tc>
        <w:tc>
          <w:tcPr>
            <w:tcW w:type="dxa" w:w="2074"/>
          </w:tcPr>
          <w:p>
            <w:r>
              <w:t>Provider is infrastructure; semantic session identity stays stable across switching.</w:t>
            </w:r>
          </w:p>
        </w:tc>
        <w:tc>
          <w:tcPr>
            <w:tcW w:type="dxa" w:w="2074"/>
          </w:tcPr>
          <w:p>
            <w:r>
              <w:t>ERD/API/Engineering</w:t>
            </w:r>
          </w:p>
        </w:tc>
      </w:tr>
      <w:tr>
        <w:tc>
          <w:tcPr>
            <w:tcW w:type="dxa" w:w="2074"/>
          </w:tcPr>
          <w:p>
            <w:r>
              <w:t>Participation Evidence</w:t>
            </w:r>
          </w:p>
        </w:tc>
        <w:tc>
          <w:tcPr>
            <w:tcW w:type="dxa" w:w="2074"/>
          </w:tcPr>
          <w:p>
            <w:r>
              <w:t>Learning Session</w:t>
            </w:r>
          </w:p>
        </w:tc>
        <w:tc>
          <w:tcPr>
            <w:tcW w:type="dxa" w:w="2074"/>
          </w:tcPr>
          <w:p>
            <w:r>
              <w:t>Attendance/completion evaluation</w:t>
            </w:r>
          </w:p>
        </w:tc>
        <w:tc>
          <w:tcPr>
            <w:tcW w:type="dxa" w:w="2074"/>
          </w:tcPr>
          <w:p>
            <w:r>
              <w:t>Provider evidence is evidence, not final business authority.</w:t>
            </w:r>
          </w:p>
        </w:tc>
        <w:tc>
          <w:tcPr>
            <w:tcW w:type="dxa" w:w="2074"/>
          </w:tcPr>
          <w:p>
            <w:r>
              <w:t>ERD/API/BR</w:t>
            </w:r>
          </w:p>
        </w:tc>
      </w:tr>
      <w:tr>
        <w:tc>
          <w:tcPr>
            <w:tcW w:type="dxa" w:w="2074"/>
          </w:tcPr>
          <w:p>
            <w:r>
              <w:t>Certificate/Credential</w:t>
            </w:r>
          </w:p>
        </w:tc>
        <w:tc>
          <w:tcPr>
            <w:tcW w:type="dxa" w:w="2074"/>
          </w:tcPr>
          <w:p>
            <w:r>
              <w:t>Learning/Credential boundary</w:t>
            </w:r>
          </w:p>
        </w:tc>
        <w:tc>
          <w:tcPr>
            <w:tcW w:type="dxa" w:w="2074"/>
          </w:tcPr>
          <w:p>
            <w:r>
              <w:t>Awarding qualification input</w:t>
            </w:r>
          </w:p>
        </w:tc>
        <w:tc>
          <w:tcPr>
            <w:tcW w:type="dxa" w:w="2074"/>
          </w:tcPr>
          <w:p>
            <w:r>
              <w:t>M04 Certificate/Credential ≠ M15 Award Instance.</w:t>
            </w:r>
          </w:p>
        </w:tc>
        <w:tc>
          <w:tcPr>
            <w:tcW w:type="dxa" w:w="2074"/>
          </w:tcPr>
          <w:p>
            <w:r>
              <w:t>ERD/API/PRD</w:t>
            </w:r>
          </w:p>
        </w:tc>
      </w:tr>
      <w:tr>
        <w:tc>
          <w:tcPr>
            <w:tcW w:type="dxa" w:w="2074"/>
          </w:tcPr>
          <w:p>
            <w:r>
              <w:t>Awarding Path Version</w:t>
            </w:r>
          </w:p>
        </w:tc>
        <w:tc>
          <w:tcPr>
            <w:tcW w:type="dxa" w:w="2074"/>
          </w:tcPr>
          <w:p>
            <w:r>
              <w:t>Awarding</w:t>
            </w:r>
          </w:p>
        </w:tc>
        <w:tc>
          <w:tcPr>
            <w:tcW w:type="dxa" w:w="2074"/>
          </w:tcPr>
          <w:p>
            <w:r>
              <w:t>Historical award provenance</w:t>
            </w:r>
          </w:p>
        </w:tc>
        <w:tc>
          <w:tcPr>
            <w:tcW w:type="dxa" w:w="2074"/>
          </w:tcPr>
          <w:p>
            <w:r>
              <w:t>Material path change → new version; used versions immutable.</w:t>
            </w:r>
          </w:p>
        </w:tc>
        <w:tc>
          <w:tcPr>
            <w:tcW w:type="dxa" w:w="2074"/>
          </w:tcPr>
          <w:p>
            <w:r>
              <w:t>ERD/API/BR</w:t>
            </w:r>
          </w:p>
        </w:tc>
      </w:tr>
      <w:tr>
        <w:tc>
          <w:tcPr>
            <w:tcW w:type="dxa" w:w="2074"/>
          </w:tcPr>
          <w:p>
            <w:r>
              <w:t>Awarding Rule Version</w:t>
            </w:r>
          </w:p>
        </w:tc>
        <w:tc>
          <w:tcPr>
            <w:tcW w:type="dxa" w:w="2074"/>
          </w:tcPr>
          <w:p>
            <w:r>
              <w:t>Awarding</w:t>
            </w:r>
          </w:p>
        </w:tc>
        <w:tc>
          <w:tcPr>
            <w:tcW w:type="dxa" w:w="2074"/>
          </w:tcPr>
          <w:p>
            <w:r>
              <w:t>Historical award provenance</w:t>
            </w:r>
          </w:p>
        </w:tc>
        <w:tc>
          <w:tcPr>
            <w:tcW w:type="dxa" w:w="2074"/>
          </w:tcPr>
          <w:p>
            <w:r>
              <w:t>Separate version boundary; used versions immutable; temporal semantics not locked by MADCR-041.</w:t>
            </w:r>
          </w:p>
        </w:tc>
        <w:tc>
          <w:tcPr>
            <w:tcW w:type="dxa" w:w="2074"/>
          </w:tcPr>
          <w:p>
            <w:r>
              <w:t>ERD/API/BR</w:t>
            </w:r>
          </w:p>
        </w:tc>
      </w:tr>
      <w:tr>
        <w:tc>
          <w:tcPr>
            <w:tcW w:type="dxa" w:w="2074"/>
          </w:tcPr>
          <w:p>
            <w:r>
              <w:t>Award Instance</w:t>
            </w:r>
          </w:p>
        </w:tc>
        <w:tc>
          <w:tcPr>
            <w:tcW w:type="dxa" w:w="2074"/>
          </w:tcPr>
          <w:p>
            <w:r>
              <w:t>Awarding</w:t>
            </w:r>
          </w:p>
        </w:tc>
        <w:tc>
          <w:tcPr>
            <w:tcW w:type="dxa" w:w="2074"/>
          </w:tcPr>
          <w:p>
            <w:r>
              <w:t>Profile/history/reporting</w:t>
            </w:r>
          </w:p>
        </w:tc>
        <w:tc>
          <w:tcPr>
            <w:tcW w:type="dxa" w:w="2074"/>
          </w:tcPr>
          <w:p>
            <w:r>
              <w:t>Must preserve historical Path/Rule binding.</w:t>
            </w:r>
          </w:p>
        </w:tc>
        <w:tc>
          <w:tcPr>
            <w:tcW w:type="dxa" w:w="2074"/>
          </w:tcPr>
          <w:p>
            <w:r>
              <w:t>ERD/API/PRD</w:t>
            </w:r>
          </w:p>
        </w:tc>
      </w:tr>
      <w:tr>
        <w:tc>
          <w:tcPr>
            <w:tcW w:type="dxa" w:w="2074"/>
          </w:tcPr>
          <w:p>
            <w:r>
              <w:t>Authority/Scope Binding</w:t>
            </w:r>
          </w:p>
        </w:tc>
        <w:tc>
          <w:tcPr>
            <w:tcW w:type="dxa" w:w="2074"/>
          </w:tcPr>
          <w:p>
            <w:r>
              <w:t>Authorization</w:t>
            </w:r>
          </w:p>
        </w:tc>
        <w:tc>
          <w:tcPr>
            <w:tcW w:type="dxa" w:w="2074"/>
          </w:tcPr>
          <w:p>
            <w:r>
              <w:t>Awarding/session/admin actions</w:t>
            </w:r>
          </w:p>
        </w:tc>
        <w:tc>
          <w:tcPr>
            <w:tcW w:type="dxa" w:w="2074"/>
          </w:tcPr>
          <w:p>
            <w:r>
              <w:t>Authorization permits action; it does not create qualification or award authority by itself.</w:t>
            </w:r>
          </w:p>
        </w:tc>
        <w:tc>
          <w:tcPr>
            <w:tcW w:type="dxa" w:w="2074"/>
          </w:tcPr>
          <w:p>
            <w:r>
              <w:t>RBAC/API</w:t>
            </w:r>
          </w:p>
        </w:tc>
      </w:tr>
    </w:tbl>
    <w:p>
      <w:pPr>
        <w:pStyle w:val="Heading1"/>
      </w:pPr>
      <w:r>
        <w:t>5. Cross-AEP Contract Specification</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Contract ID</w:t>
            </w:r>
          </w:p>
        </w:tc>
        <w:tc>
          <w:tcPr>
            <w:tcW w:type="dxa" w:w="1728"/>
          </w:tcPr>
          <w:p>
            <w:r>
              <w:t>Producer</w:t>
            </w:r>
          </w:p>
        </w:tc>
        <w:tc>
          <w:tcPr>
            <w:tcW w:type="dxa" w:w="1728"/>
          </w:tcPr>
          <w:p>
            <w:r>
              <w:t>Consumer</w:t>
            </w:r>
          </w:p>
        </w:tc>
        <w:tc>
          <w:tcPr>
            <w:tcW w:type="dxa" w:w="1728"/>
          </w:tcPr>
          <w:p>
            <w:r>
              <w:t>Contract</w:t>
            </w:r>
          </w:p>
        </w:tc>
        <w:tc>
          <w:tcPr>
            <w:tcW w:type="dxa" w:w="1728"/>
          </w:tcPr>
          <w:p>
            <w:r>
              <w:t>Required Guarantee</w:t>
            </w:r>
          </w:p>
        </w:tc>
        <w:tc>
          <w:tcPr>
            <w:tcW w:type="dxa" w:w="1728"/>
          </w:tcPr>
          <w:p>
            <w:r>
              <w:t>Status</w:t>
            </w:r>
          </w:p>
        </w:tc>
      </w:tr>
      <w:tr>
        <w:tc>
          <w:tcPr>
            <w:tcW w:type="dxa" w:w="1728"/>
          </w:tcPr>
          <w:p>
            <w:r>
              <w:t>XCON-01</w:t>
            </w:r>
          </w:p>
        </w:tc>
        <w:tc>
          <w:tcPr>
            <w:tcW w:type="dxa" w:w="1728"/>
          </w:tcPr>
          <w:p>
            <w:r>
              <w:t>Commercial/Payment</w:t>
            </w:r>
          </w:p>
        </w:tc>
        <w:tc>
          <w:tcPr>
            <w:tcW w:type="dxa" w:w="1728"/>
          </w:tcPr>
          <w:p>
            <w:r>
              <w:t>Learning Economy</w:t>
            </w:r>
          </w:p>
        </w:tc>
        <w:tc>
          <w:tcPr>
            <w:tcW w:type="dxa" w:w="1728"/>
          </w:tcPr>
          <w:p>
            <w:r>
              <w:t>Trusted Payment Outcome</w:t>
            </w:r>
          </w:p>
        </w:tc>
        <w:tc>
          <w:tcPr>
            <w:tcW w:type="dxa" w:w="1728"/>
          </w:tcPr>
          <w:p>
            <w:r>
              <w:t>Confirmed/verified outcome with idempotent fulfillment provenance; no duplicate payment authority.</w:t>
            </w:r>
          </w:p>
        </w:tc>
        <w:tc>
          <w:tcPr>
            <w:tcW w:type="dxa" w:w="1728"/>
          </w:tcPr>
          <w:p>
            <w:r>
              <w:t>CANONICAL</w:t>
            </w:r>
          </w:p>
        </w:tc>
      </w:tr>
      <w:tr>
        <w:tc>
          <w:tcPr>
            <w:tcW w:type="dxa" w:w="1728"/>
          </w:tcPr>
          <w:p>
            <w:r>
              <w:t>XCON-02</w:t>
            </w:r>
          </w:p>
        </w:tc>
        <w:tc>
          <w:tcPr>
            <w:tcW w:type="dxa" w:w="1728"/>
          </w:tcPr>
          <w:p>
            <w:r>
              <w:t>Commercial/Payment</w:t>
            </w:r>
          </w:p>
        </w:tc>
        <w:tc>
          <w:tcPr>
            <w:tcW w:type="dxa" w:w="1728"/>
          </w:tcPr>
          <w:p>
            <w:r>
              <w:t>Learning Session</w:t>
            </w:r>
          </w:p>
        </w:tc>
        <w:tc>
          <w:tcPr>
            <w:tcW w:type="dxa" w:w="1728"/>
          </w:tcPr>
          <w:p>
            <w:r>
              <w:t>Access/Entitlement Outcome</w:t>
            </w:r>
          </w:p>
        </w:tc>
        <w:tc>
          <w:tcPr>
            <w:tcW w:type="dxa" w:w="1728"/>
          </w:tcPr>
          <w:p>
            <w:r>
              <w:t>Session enrollment may activate from paid or free entitlement; payment success alone is not semantic ACTIVE.</w:t>
            </w:r>
          </w:p>
        </w:tc>
        <w:tc>
          <w:tcPr>
            <w:tcW w:type="dxa" w:w="1728"/>
          </w:tcPr>
          <w:p>
            <w:r>
              <w:t>CANONICAL</w:t>
            </w:r>
          </w:p>
        </w:tc>
      </w:tr>
      <w:tr>
        <w:tc>
          <w:tcPr>
            <w:tcW w:type="dxa" w:w="1728"/>
          </w:tcPr>
          <w:p>
            <w:r>
              <w:t>XCON-03</w:t>
            </w:r>
          </w:p>
        </w:tc>
        <w:tc>
          <w:tcPr>
            <w:tcW w:type="dxa" w:w="1728"/>
          </w:tcPr>
          <w:p>
            <w:r>
              <w:t>Learning Session</w:t>
            </w:r>
          </w:p>
        </w:tc>
        <w:tc>
          <w:tcPr>
            <w:tcW w:type="dxa" w:w="1728"/>
          </w:tcPr>
          <w:p>
            <w:r>
              <w:t>Learning Activity</w:t>
            </w:r>
          </w:p>
        </w:tc>
        <w:tc>
          <w:tcPr>
            <w:tcW w:type="dxa" w:w="1728"/>
          </w:tcPr>
          <w:p>
            <w:r>
              <w:t>Completion/Evidence Handoff</w:t>
            </w:r>
          </w:p>
        </w:tc>
        <w:tc>
          <w:tcPr>
            <w:tcW w:type="dxa" w:w="1728"/>
          </w:tcPr>
          <w:p>
            <w:r>
              <w:t>Session completion is evidence/input; LP issuance remains Learning-owned; final Learning Activity model conditional on MADCR-049.</w:t>
            </w:r>
          </w:p>
        </w:tc>
        <w:tc>
          <w:tcPr>
            <w:tcW w:type="dxa" w:w="1728"/>
          </w:tcPr>
          <w:p>
            <w:r>
              <w:t>CONDITIONAL</w:t>
            </w:r>
          </w:p>
        </w:tc>
      </w:tr>
      <w:tr>
        <w:tc>
          <w:tcPr>
            <w:tcW w:type="dxa" w:w="1728"/>
          </w:tcPr>
          <w:p>
            <w:r>
              <w:t>XCON-04</w:t>
            </w:r>
          </w:p>
        </w:tc>
        <w:tc>
          <w:tcPr>
            <w:tcW w:type="dxa" w:w="1728"/>
          </w:tcPr>
          <w:p>
            <w:r>
              <w:t>Learning Economy / Assessment</w:t>
            </w:r>
          </w:p>
        </w:tc>
        <w:tc>
          <w:tcPr>
            <w:tcW w:type="dxa" w:w="1728"/>
          </w:tcPr>
          <w:p>
            <w:r>
              <w:t>Title/Awarding</w:t>
            </w:r>
          </w:p>
        </w:tc>
        <w:tc>
          <w:tcPr>
            <w:tcW w:type="dxa" w:w="1728"/>
          </w:tcPr>
          <w:p>
            <w:r>
              <w:t>Qualification Evidence</w:t>
            </w:r>
          </w:p>
        </w:tc>
        <w:tc>
          <w:tcPr>
            <w:tcW w:type="dxa" w:w="1728"/>
          </w:tcPr>
          <w:p>
            <w:r>
              <w:t>Evidence may satisfy an Awarding Path/Rule only where explicitly applicable; Awarding remains authority.</w:t>
            </w:r>
          </w:p>
        </w:tc>
        <w:tc>
          <w:tcPr>
            <w:tcW w:type="dxa" w:w="1728"/>
          </w:tcPr>
          <w:p>
            <w:r>
              <w:t>CANONICAL</w:t>
            </w:r>
          </w:p>
        </w:tc>
      </w:tr>
      <w:tr>
        <w:tc>
          <w:tcPr>
            <w:tcW w:type="dxa" w:w="1728"/>
          </w:tcPr>
          <w:p>
            <w:r>
              <w:t>XCON-05</w:t>
            </w:r>
          </w:p>
        </w:tc>
        <w:tc>
          <w:tcPr>
            <w:tcW w:type="dxa" w:w="1728"/>
          </w:tcPr>
          <w:p>
            <w:r>
              <w:t>Learning Session</w:t>
            </w:r>
          </w:p>
        </w:tc>
        <w:tc>
          <w:tcPr>
            <w:tcW w:type="dxa" w:w="1728"/>
          </w:tcPr>
          <w:p>
            <w:r>
              <w:t>Title/Awarding</w:t>
            </w:r>
          </w:p>
        </w:tc>
        <w:tc>
          <w:tcPr>
            <w:tcW w:type="dxa" w:w="1728"/>
          </w:tcPr>
          <w:p>
            <w:r>
              <w:t>Session Evidence</w:t>
            </w:r>
          </w:p>
        </w:tc>
        <w:tc>
          <w:tcPr>
            <w:tcW w:type="dxa" w:w="1728"/>
          </w:tcPr>
          <w:p>
            <w:r>
              <w:t>Session evidence cannot directly create Award Instance/Title.</w:t>
            </w:r>
          </w:p>
        </w:tc>
        <w:tc>
          <w:tcPr>
            <w:tcW w:type="dxa" w:w="1728"/>
          </w:tcPr>
          <w:p>
            <w:r>
              <w:t>CANONICAL</w:t>
            </w:r>
          </w:p>
        </w:tc>
      </w:tr>
      <w:tr>
        <w:tc>
          <w:tcPr>
            <w:tcW w:type="dxa" w:w="1728"/>
          </w:tcPr>
          <w:p>
            <w:r>
              <w:t>XCON-06</w:t>
            </w:r>
          </w:p>
        </w:tc>
        <w:tc>
          <w:tcPr>
            <w:tcW w:type="dxa" w:w="1728"/>
          </w:tcPr>
          <w:p>
            <w:r>
              <w:t>Provider Adapter</w:t>
            </w:r>
          </w:p>
        </w:tc>
        <w:tc>
          <w:tcPr>
            <w:tcW w:type="dxa" w:w="1728"/>
          </w:tcPr>
          <w:p>
            <w:r>
              <w:t>Learning Session</w:t>
            </w:r>
          </w:p>
        </w:tc>
        <w:tc>
          <w:tcPr>
            <w:tcW w:type="dxa" w:w="1728"/>
          </w:tcPr>
          <w:p>
            <w:r>
              <w:t>Normalized Provider Evidence</w:t>
            </w:r>
          </w:p>
        </w:tc>
        <w:tc>
          <w:tcPr>
            <w:tcW w:type="dxa" w:w="1728"/>
          </w:tcPr>
          <w:p>
            <w:r>
              <w:t>Provider events validated/normalized/idempotent; provider identity is infrastructure reference.</w:t>
            </w:r>
          </w:p>
        </w:tc>
        <w:tc>
          <w:tcPr>
            <w:tcW w:type="dxa" w:w="1728"/>
          </w:tcPr>
          <w:p>
            <w:r>
              <w:t>CANONICAL</w:t>
            </w:r>
          </w:p>
        </w:tc>
      </w:tr>
      <w:tr>
        <w:tc>
          <w:tcPr>
            <w:tcW w:type="dxa" w:w="1728"/>
          </w:tcPr>
          <w:p>
            <w:r>
              <w:t>XCON-07</w:t>
            </w:r>
          </w:p>
        </w:tc>
        <w:tc>
          <w:tcPr>
            <w:tcW w:type="dxa" w:w="1728"/>
          </w:tcPr>
          <w:p>
            <w:r>
              <w:t>Authorization</w:t>
            </w:r>
          </w:p>
        </w:tc>
        <w:tc>
          <w:tcPr>
            <w:tcW w:type="dxa" w:w="1728"/>
          </w:tcPr>
          <w:p>
            <w:r>
              <w:t>All Domains</w:t>
            </w:r>
          </w:p>
        </w:tc>
        <w:tc>
          <w:tcPr>
            <w:tcW w:type="dxa" w:w="1728"/>
          </w:tcPr>
          <w:p>
            <w:r>
              <w:t>Action Authorization</w:t>
            </w:r>
          </w:p>
        </w:tc>
        <w:tc>
          <w:tcPr>
            <w:tcW w:type="dxa" w:w="1728"/>
          </w:tcPr>
          <w:p>
            <w:r>
              <w:t>Existing role + capability permission + Authority/Scope Binding; exact IDs remain downstream/governance dependent.</w:t>
            </w:r>
          </w:p>
        </w:tc>
        <w:tc>
          <w:tcPr>
            <w:tcW w:type="dxa" w:w="1728"/>
          </w:tcPr>
          <w:p>
            <w:r>
              <w:t>CONTROLLED</w:t>
            </w:r>
          </w:p>
        </w:tc>
      </w:tr>
      <w:tr>
        <w:tc>
          <w:tcPr>
            <w:tcW w:type="dxa" w:w="1728"/>
          </w:tcPr>
          <w:p>
            <w:r>
              <w:t>XCON-08</w:t>
            </w:r>
          </w:p>
        </w:tc>
        <w:tc>
          <w:tcPr>
            <w:tcW w:type="dxa" w:w="1728"/>
          </w:tcPr>
          <w:p>
            <w:r>
              <w:t>Awarding</w:t>
            </w:r>
          </w:p>
        </w:tc>
        <w:tc>
          <w:tcPr>
            <w:tcW w:type="dxa" w:w="1728"/>
          </w:tcPr>
          <w:p>
            <w:r>
              <w:t>Learning / Profile</w:t>
            </w:r>
          </w:p>
        </w:tc>
        <w:tc>
          <w:tcPr>
            <w:tcW w:type="dxa" w:w="1728"/>
          </w:tcPr>
          <w:p>
            <w:r>
              <w:t>Award Outcome</w:t>
            </w:r>
          </w:p>
        </w:tc>
        <w:tc>
          <w:tcPr>
            <w:tcW w:type="dxa" w:w="1728"/>
          </w:tcPr>
          <w:p>
            <w:r>
              <w:t>Award Instance preserves historical Path Version + Rule Version; no certificate-table repurposing.</w:t>
            </w:r>
          </w:p>
        </w:tc>
        <w:tc>
          <w:tcPr>
            <w:tcW w:type="dxa" w:w="1728"/>
          </w:tcPr>
          <w:p>
            <w:r>
              <w:t>CANONICAL</w:t>
            </w:r>
          </w:p>
        </w:tc>
      </w:tr>
      <w:tr>
        <w:tc>
          <w:tcPr>
            <w:tcW w:type="dxa" w:w="1728"/>
          </w:tcPr>
          <w:p>
            <w:r>
              <w:t>XCON-09</w:t>
            </w:r>
          </w:p>
        </w:tc>
        <w:tc>
          <w:tcPr>
            <w:tcW w:type="dxa" w:w="1728"/>
          </w:tcPr>
          <w:p>
            <w:r>
              <w:t>Event Calendar</w:t>
            </w:r>
          </w:p>
        </w:tc>
        <w:tc>
          <w:tcPr>
            <w:tcW w:type="dxa" w:w="1728"/>
          </w:tcPr>
          <w:p>
            <w:r>
              <w:t>Learning Session</w:t>
            </w:r>
          </w:p>
        </w:tc>
        <w:tc>
          <w:tcPr>
            <w:tcW w:type="dxa" w:w="1728"/>
          </w:tcPr>
          <w:p>
            <w:r>
              <w:t>Discovery / RSVP Context</w:t>
            </w:r>
          </w:p>
        </w:tc>
        <w:tc>
          <w:tcPr>
            <w:tcW w:type="dxa" w:w="1728"/>
          </w:tcPr>
          <w:p>
            <w:r>
              <w:t>Event Calendar can expose/discover sessions; Event Registration is not Session Enrollment.</w:t>
            </w:r>
          </w:p>
        </w:tc>
        <w:tc>
          <w:tcPr>
            <w:tcW w:type="dxa" w:w="1728"/>
          </w:tcPr>
          <w:p>
            <w:r>
              <w:t>CANONICAL</w:t>
            </w:r>
          </w:p>
        </w:tc>
      </w:tr>
      <w:tr>
        <w:tc>
          <w:tcPr>
            <w:tcW w:type="dxa" w:w="1728"/>
          </w:tcPr>
          <w:p>
            <w:r>
              <w:t>XCON-10</w:t>
            </w:r>
          </w:p>
        </w:tc>
        <w:tc>
          <w:tcPr>
            <w:tcW w:type="dxa" w:w="1728"/>
          </w:tcPr>
          <w:p>
            <w:r>
              <w:t>Commercial</w:t>
            </w:r>
          </w:p>
        </w:tc>
        <w:tc>
          <w:tcPr>
            <w:tcW w:type="dxa" w:w="1728"/>
          </w:tcPr>
          <w:p>
            <w:r>
              <w:t>Historical Consumers</w:t>
            </w:r>
          </w:p>
        </w:tc>
        <w:tc>
          <w:tcPr>
            <w:tcW w:type="dxa" w:w="1728"/>
          </w:tcPr>
          <w:p>
            <w:r>
              <w:t>Commercial Snapshot</w:t>
            </w:r>
          </w:p>
        </w:tc>
        <w:tc>
          <w:tcPr>
            <w:tcW w:type="dxa" w:w="1728"/>
          </w:tcPr>
          <w:p>
            <w:r>
              <w:t>Confirmed transaction snapshot is commercial-complete and immutable after confirmation.</w:t>
            </w:r>
          </w:p>
        </w:tc>
        <w:tc>
          <w:tcPr>
            <w:tcW w:type="dxa" w:w="1728"/>
          </w:tcPr>
          <w:p>
            <w:r>
              <w:t>CANONICAL</w:t>
            </w:r>
          </w:p>
        </w:tc>
      </w:tr>
    </w:tbl>
    <w:p>
      <w:pPr>
        <w:pStyle w:val="Heading1"/>
      </w:pPr>
      <w:r>
        <w:t>6. Dependency Graph / Synchronization Order</w:t>
      </w:r>
    </w:p>
    <w:p>
      <w:r>
        <w:t>The following order is the recommended order for the eventual project-wide technical synchronization. It does not change the already locked AEP execution sequence.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Stage</w:t>
            </w:r>
          </w:p>
        </w:tc>
        <w:tc>
          <w:tcPr>
            <w:tcW w:type="dxa" w:w="2074"/>
          </w:tcPr>
          <w:p>
            <w:r>
              <w:t>Depends On</w:t>
            </w:r>
          </w:p>
        </w:tc>
        <w:tc>
          <w:tcPr>
            <w:tcW w:type="dxa" w:w="2074"/>
          </w:tcPr>
          <w:p>
            <w:r>
              <w:t>Primary Baseline Families</w:t>
            </w:r>
          </w:p>
        </w:tc>
        <w:tc>
          <w:tcPr>
            <w:tcW w:type="dxa" w:w="2074"/>
          </w:tcPr>
          <w:p>
            <w:r>
              <w:t>Purpose</w:t>
            </w:r>
          </w:p>
        </w:tc>
        <w:tc>
          <w:tcPr>
            <w:tcW w:type="dxa" w:w="2074"/>
          </w:tcPr>
          <w:p>
            <w:r>
              <w:t>Gate</w:t>
            </w:r>
          </w:p>
        </w:tc>
      </w:tr>
      <w:tr>
        <w:tc>
          <w:tcPr>
            <w:tcW w:type="dxa" w:w="2074"/>
          </w:tcPr>
          <w:p>
            <w:r>
              <w:t>D0 — Authority &amp; Vocabulary</w:t>
            </w:r>
          </w:p>
        </w:tc>
        <w:tc>
          <w:tcPr>
            <w:tcW w:type="dxa" w:w="2074"/>
          </w:tcPr>
          <w:p>
            <w:r>
              <w:t>All AEPs complete</w:t>
            </w:r>
          </w:p>
        </w:tc>
        <w:tc>
          <w:tcPr>
            <w:tcW w:type="dxa" w:w="2074"/>
          </w:tcPr>
          <w:p>
            <w:r>
              <w:t>Constitution, Governance Register, Manifest, terminology/index</w:t>
            </w:r>
          </w:p>
        </w:tc>
        <w:tc>
          <w:tcPr>
            <w:tcW w:type="dxa" w:w="2074"/>
          </w:tcPr>
          <w:p>
            <w:r>
              <w:t>Establish canonical ownership and stale-term disposition.</w:t>
            </w:r>
          </w:p>
        </w:tc>
        <w:tc>
          <w:tcPr>
            <w:tcW w:type="dxa" w:w="2074"/>
          </w:tcPr>
          <w:p>
            <w:r>
              <w:t>PASS — this Step 02</w:t>
            </w:r>
          </w:p>
        </w:tc>
      </w:tr>
      <w:tr>
        <w:tc>
          <w:tcPr>
            <w:tcW w:type="dxa" w:w="2074"/>
          </w:tcPr>
          <w:p>
            <w:r>
              <w:t>D1 — Commercial/Payment foundation</w:t>
            </w:r>
          </w:p>
        </w:tc>
        <w:tc>
          <w:tcPr>
            <w:tcW w:type="dxa" w:w="2074"/>
          </w:tcPr>
          <w:p>
            <w:r>
              <w:t>D0</w:t>
            </w:r>
          </w:p>
        </w:tc>
        <w:tc>
          <w:tcPr>
            <w:tcW w:type="dxa" w:w="2074"/>
          </w:tcPr>
          <w:p>
            <w:r>
              <w:t>System Architecture, ERD, Schema, API, RBAC</w:t>
            </w:r>
          </w:p>
        </w:tc>
        <w:tc>
          <w:tcPr>
            <w:tcW w:type="dxa" w:w="2074"/>
          </w:tcPr>
          <w:p>
            <w:r>
              <w:t>Insert Commercial/Payment core and entitlement/payment boundaries.</w:t>
            </w:r>
          </w:p>
        </w:tc>
        <w:tc>
          <w:tcPr>
            <w:tcW w:type="dxa" w:w="2074"/>
          </w:tcPr>
          <w:p>
            <w:r>
              <w:t>MADCR-011/002/003/005/010</w:t>
            </w:r>
          </w:p>
        </w:tc>
      </w:tr>
      <w:tr>
        <w:tc>
          <w:tcPr>
            <w:tcW w:type="dxa" w:w="2074"/>
          </w:tcPr>
          <w:p>
            <w:r>
              <w:t>D2 — Learning Economy</w:t>
            </w:r>
          </w:p>
        </w:tc>
        <w:tc>
          <w:tcPr>
            <w:tcW w:type="dxa" w:w="2074"/>
          </w:tcPr>
          <w:p>
            <w:r>
              <w:t>D1</w:t>
            </w:r>
          </w:p>
        </w:tc>
        <w:tc>
          <w:tcPr>
            <w:tcW w:type="dxa" w:w="2074"/>
          </w:tcPr>
          <w:p>
            <w:r>
              <w:t>ERD, Schema, API, RBAC, PRD, User Flow, BR</w:t>
            </w:r>
          </w:p>
        </w:tc>
        <w:tc>
          <w:tcPr>
            <w:tcW w:type="dxa" w:w="2074"/>
          </w:tcPr>
          <w:p>
            <w:r>
              <w:t>Insert LP/progression/evidence semantics and Payment handoff.</w:t>
            </w:r>
          </w:p>
        </w:tc>
        <w:tc>
          <w:tcPr>
            <w:tcW w:type="dxa" w:w="2074"/>
          </w:tcPr>
          <w:p>
            <w:r>
              <w:t>MADCR-049 remains controlled dependency</w:t>
            </w:r>
          </w:p>
        </w:tc>
      </w:tr>
      <w:tr>
        <w:tc>
          <w:tcPr>
            <w:tcW w:type="dxa" w:w="2074"/>
          </w:tcPr>
          <w:p>
            <w:r>
              <w:t>D3 — Learning Session</w:t>
            </w:r>
          </w:p>
        </w:tc>
        <w:tc>
          <w:tcPr>
            <w:tcW w:type="dxa" w:w="2074"/>
          </w:tcPr>
          <w:p>
            <w:r>
              <w:t>D2</w:t>
            </w:r>
          </w:p>
        </w:tc>
        <w:tc>
          <w:tcPr>
            <w:tcW w:type="dxa" w:w="2074"/>
          </w:tcPr>
          <w:p>
            <w:r>
              <w:t>ERD, Schema, API, RBAC, PRD, User Flow, Engineering</w:t>
            </w:r>
          </w:p>
        </w:tc>
        <w:tc>
          <w:tcPr>
            <w:tcW w:type="dxa" w:w="2074"/>
          </w:tcPr>
          <w:p>
            <w:r>
              <w:t>Insert Session/Enrollment/Provider Binding/Evidence semantics and remove stale Event ownership.</w:t>
            </w:r>
          </w:p>
        </w:tc>
        <w:tc>
          <w:tcPr>
            <w:tcW w:type="dxa" w:w="2074"/>
          </w:tcPr>
          <w:p>
            <w:r>
              <w:t>MADCR-053/054 + OD-08 controlled</w:t>
            </w:r>
          </w:p>
        </w:tc>
      </w:tr>
      <w:tr>
        <w:tc>
          <w:tcPr>
            <w:tcW w:type="dxa" w:w="2074"/>
          </w:tcPr>
          <w:p>
            <w:r>
              <w:t>D4 — Title/Awarding</w:t>
            </w:r>
          </w:p>
        </w:tc>
        <w:tc>
          <w:tcPr>
            <w:tcW w:type="dxa" w:w="2074"/>
          </w:tcPr>
          <w:p>
            <w:r>
              <w:t>D2 + D3 evidence boundaries</w:t>
            </w:r>
          </w:p>
        </w:tc>
        <w:tc>
          <w:tcPr>
            <w:tcW w:type="dxa" w:w="2074"/>
          </w:tcPr>
          <w:p>
            <w:r>
              <w:t>ERD, Schema, API, RBAC, PRD, User Flow, BR</w:t>
            </w:r>
          </w:p>
        </w:tc>
        <w:tc>
          <w:tcPr>
            <w:tcW w:type="dxa" w:w="2074"/>
          </w:tcPr>
          <w:p>
            <w:r>
              <w:t>Insert Path/Rule/Award provenance and Certificate/Award separation.</w:t>
            </w:r>
          </w:p>
        </w:tc>
        <w:tc>
          <w:tcPr>
            <w:tcW w:type="dxa" w:w="2074"/>
          </w:tcPr>
          <w:p>
            <w:r>
              <w:t>AEP3 OD-02…05 remain downstream</w:t>
            </w:r>
          </w:p>
        </w:tc>
      </w:tr>
      <w:tr>
        <w:tc>
          <w:tcPr>
            <w:tcW w:type="dxa" w:w="2074"/>
          </w:tcPr>
          <w:p>
            <w:r>
              <w:t>D5 — Cross-domain reconciliation</w:t>
            </w:r>
          </w:p>
        </w:tc>
        <w:tc>
          <w:tcPr>
            <w:tcW w:type="dxa" w:w="2074"/>
          </w:tcPr>
          <w:p>
            <w:r>
              <w:t>D1–D4</w:t>
            </w:r>
          </w:p>
        </w:tc>
        <w:tc>
          <w:tcPr>
            <w:tcW w:type="dxa" w:w="2074"/>
          </w:tcPr>
          <w:p>
            <w:r>
              <w:t>All impacted downstream files</w:t>
            </w:r>
          </w:p>
        </w:tc>
        <w:tc>
          <w:tcPr>
            <w:tcW w:type="dxa" w:w="2074"/>
          </w:tcPr>
          <w:p>
            <w:r>
              <w:t>Check for duplicate ownership, stale terms, circular dependencies, inconsistent names.</w:t>
            </w:r>
          </w:p>
        </w:tc>
        <w:tc>
          <w:tcPr>
            <w:tcW w:type="dxa" w:w="2074"/>
          </w:tcPr>
          <w:p>
            <w:r>
              <w:t>No unresolved active conflict</w:t>
            </w:r>
          </w:p>
        </w:tc>
      </w:tr>
      <w:tr>
        <w:tc>
          <w:tcPr>
            <w:tcW w:type="dxa" w:w="2074"/>
          </w:tcPr>
          <w:p>
            <w:r>
              <w:t>D6 — Global project-control sync</w:t>
            </w:r>
          </w:p>
        </w:tc>
        <w:tc>
          <w:tcPr>
            <w:tcW w:type="dxa" w:w="2074"/>
          </w:tcPr>
          <w:p>
            <w:r>
              <w:t>D5</w:t>
            </w:r>
          </w:p>
        </w:tc>
        <w:tc>
          <w:tcPr>
            <w:tcW w:type="dxa" w:w="2074"/>
          </w:tcPr>
          <w:p>
            <w:r>
              <w:t>Constitution, Architecture, Technical Decisions, Guidebook, Manifest, State, Changelog, Roadmap, AI Context</w:t>
            </w:r>
          </w:p>
        </w:tc>
        <w:tc>
          <w:tcPr>
            <w:tcW w:type="dxa" w:w="2074"/>
          </w:tcPr>
          <w:p>
            <w:r>
              <w:t>Publish final project-wide baseline.</w:t>
            </w:r>
          </w:p>
        </w:tc>
        <w:tc>
          <w:tcPr>
            <w:tcW w:type="dxa" w:w="2074"/>
          </w:tcPr>
          <w:p>
            <w:r>
              <w:t>Final Global Gate</w:t>
            </w:r>
          </w:p>
        </w:tc>
      </w:tr>
    </w:tbl>
    <w:p>
      <w:pPr>
        <w:pStyle w:val="Heading1"/>
      </w:pPr>
      <w:r>
        <w:t>7. Baseline Delta Specification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Baseline</w:t>
            </w:r>
          </w:p>
        </w:tc>
        <w:tc>
          <w:tcPr>
            <w:tcW w:type="dxa" w:w="2074"/>
          </w:tcPr>
          <w:p>
            <w:r>
              <w:t>Required Delta</w:t>
            </w:r>
          </w:p>
        </w:tc>
        <w:tc>
          <w:tcPr>
            <w:tcW w:type="dxa" w:w="2074"/>
          </w:tcPr>
          <w:p>
            <w:r>
              <w:t>Must Preserve</w:t>
            </w:r>
          </w:p>
        </w:tc>
        <w:tc>
          <w:tcPr>
            <w:tcW w:type="dxa" w:w="2074"/>
          </w:tcPr>
          <w:p>
            <w:r>
              <w:t>Stale/Legacy Treatment</w:t>
            </w:r>
          </w:p>
        </w:tc>
        <w:tc>
          <w:tcPr>
            <w:tcW w:type="dxa" w:w="2074"/>
          </w:tcPr>
          <w:p>
            <w:r>
              <w:t>Authorization</w:t>
            </w:r>
          </w:p>
        </w:tc>
      </w:tr>
      <w:tr>
        <w:tc>
          <w:tcPr>
            <w:tcW w:type="dxa" w:w="2074"/>
          </w:tcPr>
          <w:p>
            <w:r>
              <w:t>System Architecture</w:t>
            </w:r>
          </w:p>
        </w:tc>
        <w:tc>
          <w:tcPr>
            <w:tcW w:type="dxa" w:w="2074"/>
          </w:tcPr>
          <w:p>
            <w:r>
              <w:t>Add four-domain evolution and explicit boundaries/handoffs.</w:t>
            </w:r>
          </w:p>
        </w:tc>
        <w:tc>
          <w:tcPr>
            <w:tcW w:type="dxa" w:w="2074"/>
          </w:tcPr>
          <w:p>
            <w:r>
              <w:t>Existing stable architecture and approved legacy ADR history.</w:t>
            </w:r>
          </w:p>
        </w:tc>
        <w:tc>
          <w:tcPr>
            <w:tcW w:type="dxa" w:w="2074"/>
          </w:tcPr>
          <w:p>
            <w:r>
              <w:t>Payment placeholder and old Session ownership wording must be evolved, not silently deleted.</w:t>
            </w:r>
          </w:p>
        </w:tc>
        <w:tc>
          <w:tcPr>
            <w:tcW w:type="dxa" w:w="2074"/>
          </w:tcPr>
          <w:p>
            <w:r>
              <w:t>Global sync only.</w:t>
            </w:r>
          </w:p>
        </w:tc>
      </w:tr>
      <w:tr>
        <w:tc>
          <w:tcPr>
            <w:tcW w:type="dxa" w:w="2074"/>
          </w:tcPr>
          <w:p>
            <w:r>
              <w:t>ERD</w:t>
            </w:r>
          </w:p>
        </w:tc>
        <w:tc>
          <w:tcPr>
            <w:tcW w:type="dxa" w:w="2074"/>
          </w:tcPr>
          <w:p>
            <w:r>
              <w:t>Add/reconcile Commercial, Learning Economy, Session, Provider Binding/Evidence, Awarding concepts as logically required.</w:t>
            </w:r>
          </w:p>
        </w:tc>
        <w:tc>
          <w:tcPr>
            <w:tcW w:type="dxa" w:w="2074"/>
          </w:tcPr>
          <w:p>
            <w:r>
              <w:t>Existing M04/M05 and identity concepts unless governed otherwise.</w:t>
            </w:r>
          </w:p>
        </w:tc>
        <w:tc>
          <w:tcPr>
            <w:tcW w:type="dxa" w:w="2074"/>
          </w:tcPr>
          <w:p>
            <w:r>
              <w:t>Do not reuse M04 certificates for Award Instance; do not reuse M05 event_registration as Session Enrollment.</w:t>
            </w:r>
          </w:p>
        </w:tc>
        <w:tc>
          <w:tcPr>
            <w:tcW w:type="dxa" w:w="2074"/>
          </w:tcPr>
          <w:p>
            <w:r>
              <w:t>Global sync only.</w:t>
            </w:r>
          </w:p>
        </w:tc>
      </w:tr>
      <w:tr>
        <w:tc>
          <w:tcPr>
            <w:tcW w:type="dxa" w:w="2074"/>
          </w:tcPr>
          <w:p>
            <w:r>
              <w:t>Database Dictionary / Schema</w:t>
            </w:r>
          </w:p>
        </w:tc>
        <w:tc>
          <w:tcPr>
            <w:tcW w:type="dxa" w:w="2074"/>
          </w:tcPr>
          <w:p>
            <w:r>
              <w:t>Map logical concepts to physical design after open decisions are sufficiently resolved.</w:t>
            </w:r>
          </w:p>
        </w:tc>
        <w:tc>
          <w:tcPr>
            <w:tcW w:type="dxa" w:w="2074"/>
          </w:tcPr>
          <w:p>
            <w:r>
              <w:t>Historical data semantics and approved boundaries.</w:t>
            </w:r>
          </w:p>
        </w:tc>
        <w:tc>
          <w:tcPr>
            <w:tcW w:type="dxa" w:w="2074"/>
          </w:tcPr>
          <w:p>
            <w:r>
              <w:t>Do not invent physical cardinality for AEP3/AEP4 open items.</w:t>
            </w:r>
          </w:p>
        </w:tc>
        <w:tc>
          <w:tcPr>
            <w:tcW w:type="dxa" w:w="2074"/>
          </w:tcPr>
          <w:p>
            <w:r>
              <w:t>Downstream design gate.</w:t>
            </w:r>
          </w:p>
        </w:tc>
      </w:tr>
      <w:tr>
        <w:tc>
          <w:tcPr>
            <w:tcW w:type="dxa" w:w="2074"/>
          </w:tcPr>
          <w:p>
            <w:r>
              <w:t>API</w:t>
            </w:r>
          </w:p>
        </w:tc>
        <w:tc>
          <w:tcPr>
            <w:tcW w:type="dxa" w:w="2074"/>
          </w:tcPr>
          <w:p>
            <w:r>
              <w:t>Define cross-domain semantic contracts and provider-neutral Session boundary.</w:t>
            </w:r>
          </w:p>
        </w:tc>
        <w:tc>
          <w:tcPr>
            <w:tcW w:type="dxa" w:w="2074"/>
          </w:tcPr>
          <w:p>
            <w:r>
              <w:t>Existing API compatibility where not contradictory.</w:t>
            </w:r>
          </w:p>
        </w:tc>
        <w:tc>
          <w:tcPr>
            <w:tcW w:type="dxa" w:w="2074"/>
          </w:tcPr>
          <w:p>
            <w:r>
              <w:t>Replace placeholder Payment semantics and stale provider/session identity assumptions.</w:t>
            </w:r>
          </w:p>
        </w:tc>
        <w:tc>
          <w:tcPr>
            <w:tcW w:type="dxa" w:w="2074"/>
          </w:tcPr>
          <w:p>
            <w:r>
              <w:t>Global sync after contract review.</w:t>
            </w:r>
          </w:p>
        </w:tc>
      </w:tr>
      <w:tr>
        <w:tc>
          <w:tcPr>
            <w:tcW w:type="dxa" w:w="2074"/>
          </w:tcPr>
          <w:p>
            <w:r>
              <w:t>RBAC / Authorization</w:t>
            </w:r>
          </w:p>
        </w:tc>
        <w:tc>
          <w:tcPr>
            <w:tcW w:type="dxa" w:w="2074"/>
          </w:tcPr>
          <w:p>
            <w:r>
              <w:t>Reconcile capability + Authority/Scope Binding across Commercial, Learning, Session, Awarding.</w:t>
            </w:r>
          </w:p>
        </w:tc>
        <w:tc>
          <w:tcPr>
            <w:tcW w:type="dxa" w:w="2074"/>
          </w:tcPr>
          <w:p>
            <w:r>
              <w:t>Existing role model unless governance requires change.</w:t>
            </w:r>
          </w:p>
        </w:tc>
        <w:tc>
          <w:tcPr>
            <w:tcW w:type="dxa" w:w="2074"/>
          </w:tcPr>
          <w:p>
            <w:r>
              <w:t>Do not infer Instructor=Host or entitlement=role.</w:t>
            </w:r>
          </w:p>
        </w:tc>
        <w:tc>
          <w:tcPr>
            <w:tcW w:type="dxa" w:w="2074"/>
          </w:tcPr>
          <w:p>
            <w:r>
              <w:t>MADCR-053/054 dependent.</w:t>
            </w:r>
          </w:p>
        </w:tc>
      </w:tr>
      <w:tr>
        <w:tc>
          <w:tcPr>
            <w:tcW w:type="dxa" w:w="2074"/>
          </w:tcPr>
          <w:p>
            <w:r>
              <w:t>PRD</w:t>
            </w:r>
          </w:p>
        </w:tc>
        <w:tc>
          <w:tcPr>
            <w:tcW w:type="dxa" w:w="2074"/>
          </w:tcPr>
          <w:p>
            <w:r>
              <w:t>Replace stale live/Event ownership with Session semantics; preserve Event discovery/RSVP.</w:t>
            </w:r>
          </w:p>
        </w:tc>
        <w:tc>
          <w:tcPr>
            <w:tcW w:type="dxa" w:w="2074"/>
          </w:tcPr>
          <w:p>
            <w:r>
              <w:t>Existing product intent and non-conflicting flows.</w:t>
            </w:r>
          </w:p>
        </w:tc>
        <w:tc>
          <w:tcPr>
            <w:tcW w:type="dxa" w:w="2074"/>
          </w:tcPr>
          <w:p>
            <w:r>
              <w:t>Historical v2 Learning Session text becomes non-normative where conflicting.</w:t>
            </w:r>
          </w:p>
        </w:tc>
        <w:tc>
          <w:tcPr>
            <w:tcW w:type="dxa" w:w="2074"/>
          </w:tcPr>
          <w:p>
            <w:r>
              <w:t>Global sync.</w:t>
            </w:r>
          </w:p>
        </w:tc>
      </w:tr>
      <w:tr>
        <w:tc>
          <w:tcPr>
            <w:tcW w:type="dxa" w:w="2074"/>
          </w:tcPr>
          <w:p>
            <w:r>
              <w:t>User Flow</w:t>
            </w:r>
          </w:p>
        </w:tc>
        <w:tc>
          <w:tcPr>
            <w:tcW w:type="dxa" w:w="2074"/>
          </w:tcPr>
          <w:p>
            <w:r>
              <w:t>Add Enrollment lifecycle and Session/provider evidence flows.</w:t>
            </w:r>
          </w:p>
        </w:tc>
        <w:tc>
          <w:tcPr>
            <w:tcW w:type="dxa" w:w="2074"/>
          </w:tcPr>
          <w:p>
            <w:r>
              <w:t>Existing Event RSVP and course flows where still applicable.</w:t>
            </w:r>
          </w:p>
        </w:tc>
        <w:tc>
          <w:tcPr>
            <w:tcW w:type="dxa" w:w="2074"/>
          </w:tcPr>
          <w:p>
            <w:r>
              <w:t>Avoid screen-level rewrite from semantic artifact alone.</w:t>
            </w:r>
          </w:p>
        </w:tc>
        <w:tc>
          <w:tcPr>
            <w:tcW w:type="dxa" w:w="2074"/>
          </w:tcPr>
          <w:p>
            <w:r>
              <w:t>Global sync.</w:t>
            </w:r>
          </w:p>
        </w:tc>
      </w:tr>
      <w:tr>
        <w:tc>
          <w:tcPr>
            <w:tcW w:type="dxa" w:w="2074"/>
          </w:tcPr>
          <w:p>
            <w:r>
              <w:t>Business Rules / Traceability</w:t>
            </w:r>
          </w:p>
        </w:tc>
        <w:tc>
          <w:tcPr>
            <w:tcW w:type="dxa" w:w="2074"/>
          </w:tcPr>
          <w:p>
            <w:r>
              <w:t>Add cross-domain rules and handoff traceability.</w:t>
            </w:r>
          </w:p>
        </w:tc>
        <w:tc>
          <w:tcPr>
            <w:tcW w:type="dxa" w:w="2074"/>
          </w:tcPr>
          <w:p>
            <w:r>
              <w:t>Normative BR authority and historical audit trail.</w:t>
            </w:r>
          </w:p>
        </w:tc>
        <w:tc>
          <w:tcPr>
            <w:tcW w:type="dxa" w:w="2074"/>
          </w:tcPr>
          <w:p>
            <w:r>
              <w:t>Do not invent MBR-COM-001–013 or MADCR-049 semantics.</w:t>
            </w:r>
          </w:p>
        </w:tc>
        <w:tc>
          <w:tcPr>
            <w:tcW w:type="dxa" w:w="2074"/>
          </w:tcPr>
          <w:p>
            <w:r>
              <w:t>Governance + global sync.</w:t>
            </w:r>
          </w:p>
        </w:tc>
      </w:tr>
      <w:tr>
        <w:tc>
          <w:tcPr>
            <w:tcW w:type="dxa" w:w="2074"/>
          </w:tcPr>
          <w:p>
            <w:r>
              <w:t>Engineering Guidebook / Playbook</w:t>
            </w:r>
          </w:p>
        </w:tc>
        <w:tc>
          <w:tcPr>
            <w:tcW w:type="dxa" w:w="2074"/>
          </w:tcPr>
          <w:p>
            <w:r>
              <w:t>Add provider adapter, idempotency, provenance, service boundaries and prohibited shortcuts.</w:t>
            </w:r>
          </w:p>
        </w:tc>
        <w:tc>
          <w:tcPr>
            <w:tcW w:type="dxa" w:w="2074"/>
          </w:tcPr>
          <w:p>
            <w:r>
              <w:t>Project Constitution and technical ADR history.</w:t>
            </w:r>
          </w:p>
        </w:tc>
        <w:tc>
          <w:tcPr>
            <w:tcW w:type="dxa" w:w="2074"/>
          </w:tcPr>
          <w:p>
            <w:r>
              <w:t>Historical architecture text can remain as archive, not implementation authority.</w:t>
            </w:r>
          </w:p>
        </w:tc>
        <w:tc>
          <w:tcPr>
            <w:tcW w:type="dxa" w:w="2074"/>
          </w:tcPr>
          <w:p>
            <w:r>
              <w:t>Global sync.</w:t>
            </w:r>
          </w:p>
        </w:tc>
      </w:tr>
      <w:tr>
        <w:tc>
          <w:tcPr>
            <w:tcW w:type="dxa" w:w="2074"/>
          </w:tcPr>
          <w:p>
            <w:r>
              <w:t>Project Control Artifacts</w:t>
            </w:r>
          </w:p>
        </w:tc>
        <w:tc>
          <w:tcPr>
            <w:tcW w:type="dxa" w:w="2074"/>
          </w:tcPr>
          <w:p>
            <w:r>
              <w:t>Update final architecture state after technical synchronization.</w:t>
            </w:r>
          </w:p>
        </w:tc>
        <w:tc>
          <w:tcPr>
            <w:tcW w:type="dxa" w:w="2074"/>
          </w:tcPr>
          <w:p>
            <w:r>
              <w:t>Audit history and chronology.</w:t>
            </w:r>
          </w:p>
        </w:tc>
        <w:tc>
          <w:tcPr>
            <w:tcW w:type="dxa" w:w="2074"/>
          </w:tcPr>
          <w:p>
            <w:r>
              <w:t>Do not rewrite historical snapshots as if they were current at the time.</w:t>
            </w:r>
          </w:p>
        </w:tc>
        <w:tc>
          <w:tcPr>
            <w:tcW w:type="dxa" w:w="2074"/>
          </w:tcPr>
          <w:p>
            <w:r>
              <w:t>Final gate.</w:t>
            </w:r>
          </w:p>
        </w:tc>
      </w:tr>
    </w:tbl>
    <w:p>
      <w:pPr>
        <w:pStyle w:val="Heading1"/>
      </w:pPr>
      <w:r>
        <w:t>8. Stale / Legacy Semantic Corrections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Item</w:t>
            </w:r>
          </w:p>
        </w:tc>
        <w:tc>
          <w:tcPr>
            <w:tcW w:type="dxa" w:w="2074"/>
          </w:tcPr>
          <w:p>
            <w:r>
              <w:t>Current Problem</w:t>
            </w:r>
          </w:p>
        </w:tc>
        <w:tc>
          <w:tcPr>
            <w:tcW w:type="dxa" w:w="2074"/>
          </w:tcPr>
          <w:p>
            <w:r>
              <w:t>Canonical Interpretation</w:t>
            </w:r>
          </w:p>
        </w:tc>
        <w:tc>
          <w:tcPr>
            <w:tcW w:type="dxa" w:w="2074"/>
          </w:tcPr>
          <w:p>
            <w:r>
              <w:t>Treatment</w:t>
            </w:r>
          </w:p>
        </w:tc>
        <w:tc>
          <w:tcPr>
            <w:tcW w:type="dxa" w:w="2074"/>
          </w:tcPr>
          <w:p>
            <w:r>
              <w:t>Priority</w:t>
            </w:r>
          </w:p>
        </w:tc>
      </w:tr>
      <w:tr>
        <w:tc>
          <w:tcPr>
            <w:tcW w:type="dxa" w:w="2074"/>
          </w:tcPr>
          <w:p>
            <w:r>
              <w:t>Payment ownership wording in Learning artifacts</w:t>
            </w:r>
          </w:p>
        </w:tc>
        <w:tc>
          <w:tcPr>
            <w:tcW w:type="dxa" w:w="2074"/>
          </w:tcPr>
          <w:p>
            <w:r>
              <w:t>Some wording can make Payment appear Learning-owned.</w:t>
            </w:r>
          </w:p>
        </w:tc>
        <w:tc>
          <w:tcPr>
            <w:tcW w:type="dxa" w:w="2074"/>
          </w:tcPr>
          <w:p>
            <w:r>
              <w:t>MADCR-011 governs Payment as M14 Commercial.</w:t>
            </w:r>
          </w:p>
        </w:tc>
        <w:tc>
          <w:tcPr>
            <w:tcW w:type="dxa" w:w="2074"/>
          </w:tcPr>
          <w:p>
            <w:r>
              <w:t>Canonicalize references; do not reopen AEP2.</w:t>
            </w:r>
          </w:p>
        </w:tc>
        <w:tc>
          <w:tcPr>
            <w:tcW w:type="dxa" w:w="2074"/>
          </w:tcPr>
          <w:p>
            <w:r>
              <w:t>HIGH</w:t>
            </w:r>
          </w:p>
        </w:tc>
      </w:tr>
      <w:tr>
        <w:tc>
          <w:tcPr>
            <w:tcW w:type="dxa" w:w="2074"/>
          </w:tcPr>
          <w:p>
            <w:r>
              <w:t>ADR-LE-005 status</w:t>
            </w:r>
          </w:p>
        </w:tc>
        <w:tc>
          <w:tcPr>
            <w:tcW w:type="dxa" w:w="2074"/>
          </w:tcPr>
          <w:p>
            <w:r>
              <w:t>Some AEP2 artifacts previously implied ADR-LE-001–008 were all locked.</w:t>
            </w:r>
          </w:p>
        </w:tc>
        <w:tc>
          <w:tcPr>
            <w:tcW w:type="dxa" w:w="2074"/>
          </w:tcPr>
          <w:p>
            <w:r>
              <w:t>ADR-LE-005 is derived/governed by MADCR-011, not independently locked.</w:t>
            </w:r>
          </w:p>
        </w:tc>
        <w:tc>
          <w:tcPr>
            <w:tcW w:type="dxa" w:w="2074"/>
          </w:tcPr>
          <w:p>
            <w:r>
              <w:t>Correct traceability wording.</w:t>
            </w:r>
          </w:p>
        </w:tc>
        <w:tc>
          <w:tcPr>
            <w:tcW w:type="dxa" w:w="2074"/>
          </w:tcPr>
          <w:p>
            <w:r>
              <w:t>HIGH</w:t>
            </w:r>
          </w:p>
        </w:tc>
      </w:tr>
      <w:tr>
        <w:tc>
          <w:tcPr>
            <w:tcW w:type="dxa" w:w="2074"/>
          </w:tcPr>
          <w:p>
            <w:r>
              <w:t>M05 live/webinar Event wording</w:t>
            </w:r>
          </w:p>
        </w:tc>
        <w:tc>
          <w:tcPr>
            <w:tcW w:type="dxa" w:w="2074"/>
          </w:tcPr>
          <w:p>
            <w:r>
              <w:t>Current PRD treats live/webinar as Event Calendar semantics.</w:t>
            </w:r>
          </w:p>
        </w:tc>
        <w:tc>
          <w:tcPr>
            <w:tcW w:type="dxa" w:w="2074"/>
          </w:tcPr>
          <w:p>
            <w:r>
              <w:t>Event is discovery/presentation context; Learning Session is semantic authority.</w:t>
            </w:r>
          </w:p>
        </w:tc>
        <w:tc>
          <w:tcPr>
            <w:tcW w:type="dxa" w:w="2074"/>
          </w:tcPr>
          <w:p>
            <w:r>
              <w:t>Controlled PRD/User Flow delta.</w:t>
            </w:r>
          </w:p>
        </w:tc>
        <w:tc>
          <w:tcPr>
            <w:tcW w:type="dxa" w:w="2074"/>
          </w:tcPr>
          <w:p>
            <w:r>
              <w:t>HIGH</w:t>
            </w:r>
          </w:p>
        </w:tc>
      </w:tr>
      <w:tr>
        <w:tc>
          <w:tcPr>
            <w:tcW w:type="dxa" w:w="2074"/>
          </w:tcPr>
          <w:p>
            <w:r>
              <w:t>M05 events.quota</w:t>
            </w:r>
          </w:p>
        </w:tc>
        <w:tc>
          <w:tcPr>
            <w:tcW w:type="dxa" w:w="2074"/>
          </w:tcPr>
          <w:p>
            <w:r>
              <w:t>Could be misread as Session capacity.</w:t>
            </w:r>
          </w:p>
        </w:tc>
        <w:tc>
          <w:tcPr>
            <w:tcW w:type="dxa" w:w="2074"/>
          </w:tcPr>
          <w:p>
            <w:r>
              <w:t>Do not promote to canonical Session capacity without evidence/decision.</w:t>
            </w:r>
          </w:p>
        </w:tc>
        <w:tc>
          <w:tcPr>
            <w:tcW w:type="dxa" w:w="2074"/>
          </w:tcPr>
          <w:p>
            <w:r>
              <w:t>Leave isolated; later capacity rule.</w:t>
            </w:r>
          </w:p>
        </w:tc>
        <w:tc>
          <w:tcPr>
            <w:tcW w:type="dxa" w:w="2074"/>
          </w:tcPr>
          <w:p>
            <w:r>
              <w:t>MEDIUM</w:t>
            </w:r>
          </w:p>
        </w:tc>
      </w:tr>
      <w:tr>
        <w:tc>
          <w:tcPr>
            <w:tcW w:type="dxa" w:w="2074"/>
          </w:tcPr>
          <w:p>
            <w:r>
              <w:t>M05 event_registrations</w:t>
            </w:r>
          </w:p>
        </w:tc>
        <w:tc>
          <w:tcPr>
            <w:tcW w:type="dxa" w:w="2074"/>
          </w:tcPr>
          <w:p>
            <w:r>
              <w:t>Could be reused for Session Enrollment.</w:t>
            </w:r>
          </w:p>
        </w:tc>
        <w:tc>
          <w:tcPr>
            <w:tcW w:type="dxa" w:w="2074"/>
          </w:tcPr>
          <w:p>
            <w:r>
              <w:t>Event Registration and Session Enrollment are distinct concepts.</w:t>
            </w:r>
          </w:p>
        </w:tc>
        <w:tc>
          <w:tcPr>
            <w:tcW w:type="dxa" w:w="2074"/>
          </w:tcPr>
          <w:p>
            <w:r>
              <w:t>Preserve separation in ERD/API.</w:t>
            </w:r>
          </w:p>
        </w:tc>
        <w:tc>
          <w:tcPr>
            <w:tcW w:type="dxa" w:w="2074"/>
          </w:tcPr>
          <w:p>
            <w:r>
              <w:t>HIGH</w:t>
            </w:r>
          </w:p>
        </w:tc>
      </w:tr>
      <w:tr>
        <w:tc>
          <w:tcPr>
            <w:tcW w:type="dxa" w:w="2074"/>
          </w:tcPr>
          <w:p>
            <w:r>
              <w:t>Legacy Learning Session Architecture v2</w:t>
            </w:r>
          </w:p>
        </w:tc>
        <w:tc>
          <w:tcPr>
            <w:tcW w:type="dxa" w:w="2074"/>
          </w:tcPr>
          <w:p>
            <w:r>
              <w:t>Contains older provider/external_session_id and certificate-flow assumptions.</w:t>
            </w:r>
          </w:p>
        </w:tc>
        <w:tc>
          <w:tcPr>
            <w:tcW w:type="dxa" w:w="2074"/>
          </w:tcPr>
          <w:p>
            <w:r>
              <w:t>Historical/non-normative where conflicting with AEP4.</w:t>
            </w:r>
          </w:p>
        </w:tc>
        <w:tc>
          <w:tcPr>
            <w:tcW w:type="dxa" w:w="2074"/>
          </w:tcPr>
          <w:p>
            <w:r>
              <w:t>Do not implement literally.</w:t>
            </w:r>
          </w:p>
        </w:tc>
        <w:tc>
          <w:tcPr>
            <w:tcW w:type="dxa" w:w="2074"/>
          </w:tcPr>
          <w:p>
            <w:r>
              <w:t>HIGH</w:t>
            </w:r>
          </w:p>
        </w:tc>
      </w:tr>
      <w:tr>
        <w:tc>
          <w:tcPr>
            <w:tcW w:type="dxa" w:w="2074"/>
          </w:tcPr>
          <w:p>
            <w:r>
              <w:t>Provider session identity</w:t>
            </w:r>
          </w:p>
        </w:tc>
        <w:tc>
          <w:tcPr>
            <w:tcW w:type="dxa" w:w="2074"/>
          </w:tcPr>
          <w:p>
            <w:r>
              <w:t>Provider ID/meeting_link can be mistaken for semantic identity.</w:t>
            </w:r>
          </w:p>
        </w:tc>
        <w:tc>
          <w:tcPr>
            <w:tcW w:type="dxa" w:w="2074"/>
          </w:tcPr>
          <w:p>
            <w:r>
              <w:t>Learning Session owns semantic identity; Provider Binding stores external identity.</w:t>
            </w:r>
          </w:p>
        </w:tc>
        <w:tc>
          <w:tcPr>
            <w:tcW w:type="dxa" w:w="2074"/>
          </w:tcPr>
          <w:p>
            <w:r>
              <w:t>Canonicalize ERD/API terminology.</w:t>
            </w:r>
          </w:p>
        </w:tc>
        <w:tc>
          <w:tcPr>
            <w:tcW w:type="dxa" w:w="2074"/>
          </w:tcPr>
          <w:p>
            <w:r>
              <w:t>HIGH</w:t>
            </w:r>
          </w:p>
        </w:tc>
      </w:tr>
      <w:tr>
        <w:tc>
          <w:tcPr>
            <w:tcW w:type="dxa" w:w="2074"/>
          </w:tcPr>
          <w:p>
            <w:r>
              <w:t>Certificate → Awarding flow</w:t>
            </w:r>
          </w:p>
        </w:tc>
        <w:tc>
          <w:tcPr>
            <w:tcW w:type="dxa" w:w="2074"/>
          </w:tcPr>
          <w:p>
            <w:r>
              <w:t>Could imply completion directly creates Certificate/Title/Award.</w:t>
            </w:r>
          </w:p>
        </w:tc>
        <w:tc>
          <w:tcPr>
            <w:tcW w:type="dxa" w:w="2074"/>
          </w:tcPr>
          <w:p>
            <w:r>
              <w:t>Certificate/Credential and Award Instance remain separate authorities/concepts.</w:t>
            </w:r>
          </w:p>
        </w:tc>
        <w:tc>
          <w:tcPr>
            <w:tcW w:type="dxa" w:w="2074"/>
          </w:tcPr>
          <w:p>
            <w:r>
              <w:t>Preserve AEP3/MADCR-046 boundary.</w:t>
            </w:r>
          </w:p>
        </w:tc>
        <w:tc>
          <w:tcPr>
            <w:tcW w:type="dxa" w:w="2074"/>
          </w:tcPr>
          <w:p>
            <w:r>
              <w:t>HIGH</w:t>
            </w:r>
          </w:p>
        </w:tc>
      </w:tr>
      <w:tr>
        <w:tc>
          <w:tcPr>
            <w:tcW w:type="dxa" w:w="2074"/>
          </w:tcPr>
          <w:p>
            <w:r>
              <w:t>Title Identity Version</w:t>
            </w:r>
          </w:p>
        </w:tc>
        <w:tc>
          <w:tcPr>
            <w:tcW w:type="dxa" w:w="2074"/>
          </w:tcPr>
          <w:p>
            <w:r>
              <w:t>Older assumptions may imply a dedicated Title Identity Version entity.</w:t>
            </w:r>
          </w:p>
        </w:tc>
        <w:tc>
          <w:tcPr>
            <w:tcW w:type="dxa" w:w="2074"/>
          </w:tcPr>
          <w:p>
            <w:r>
              <w:t>AEP3-OD-01 = B; no dedicated Title Identity Version entity in AEP3.</w:t>
            </w:r>
          </w:p>
        </w:tc>
        <w:tc>
          <w:tcPr>
            <w:tcW w:type="dxa" w:w="2074"/>
          </w:tcPr>
          <w:p>
            <w:r>
              <w:t>Do not introduce it in global ERD solely from legacy text.</w:t>
            </w:r>
          </w:p>
        </w:tc>
        <w:tc>
          <w:tcPr>
            <w:tcW w:type="dxa" w:w="2074"/>
          </w:tcPr>
          <w:p>
            <w:r>
              <w:t>HIGH</w:t>
            </w:r>
          </w:p>
        </w:tc>
      </w:tr>
    </w:tbl>
    <w:p>
      <w:pPr>
        <w:pStyle w:val="Heading1"/>
      </w:pPr>
      <w:r>
        <w:t>9. Controlled Open-Decision Dependencies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ID</w:t>
            </w:r>
          </w:p>
        </w:tc>
        <w:tc>
          <w:tcPr>
            <w:tcW w:type="dxa" w:w="2074"/>
          </w:tcPr>
          <w:p>
            <w:r>
              <w:t>Decision / Residual</w:t>
            </w:r>
          </w:p>
        </w:tc>
        <w:tc>
          <w:tcPr>
            <w:tcW w:type="dxa" w:w="2074"/>
          </w:tcPr>
          <w:p>
            <w:r>
              <w:t>Affected Domains</w:t>
            </w:r>
          </w:p>
        </w:tc>
        <w:tc>
          <w:tcPr>
            <w:tcW w:type="dxa" w:w="2074"/>
          </w:tcPr>
          <w:p>
            <w:r>
              <w:t>Can Global Sync Proceed?</w:t>
            </w:r>
          </w:p>
        </w:tc>
        <w:tc>
          <w:tcPr>
            <w:tcW w:type="dxa" w:w="2074"/>
          </w:tcPr>
          <w:p>
            <w:r>
              <w:t>Required Treatment</w:t>
            </w:r>
          </w:p>
        </w:tc>
      </w:tr>
      <w:tr>
        <w:tc>
          <w:tcPr>
            <w:tcW w:type="dxa" w:w="2074"/>
          </w:tcPr>
          <w:p>
            <w:r>
              <w:t>MADCR-049</w:t>
            </w:r>
          </w:p>
        </w:tc>
        <w:tc>
          <w:tcPr>
            <w:tcW w:type="dxa" w:w="2074"/>
          </w:tcPr>
          <w:p>
            <w:r>
              <w:t>Learning Activity evidence model</w:t>
            </w:r>
          </w:p>
        </w:tc>
        <w:tc>
          <w:tcPr>
            <w:tcW w:type="dxa" w:w="2074"/>
          </w:tcPr>
          <w:p>
            <w:r>
              <w:t>Learning, Session, Awarding</w:t>
            </w:r>
          </w:p>
        </w:tc>
        <w:tc>
          <w:tcPr>
            <w:tcW w:type="dxa" w:w="2074"/>
          </w:tcPr>
          <w:p>
            <w:r>
              <w:t>YES — with conditional boundary</w:t>
            </w:r>
          </w:p>
        </w:tc>
        <w:tc>
          <w:tcPr>
            <w:tcW w:type="dxa" w:w="2074"/>
          </w:tcPr>
          <w:p>
            <w:r>
              <w:t>Do not lock final Learning Activity physical/API contract; record conditional dependency.</w:t>
            </w:r>
          </w:p>
        </w:tc>
      </w:tr>
      <w:tr>
        <w:tc>
          <w:tcPr>
            <w:tcW w:type="dxa" w:w="2074"/>
          </w:tcPr>
          <w:p>
            <w:r>
              <w:t>MADCR-053</w:t>
            </w:r>
          </w:p>
        </w:tc>
        <w:tc>
          <w:tcPr>
            <w:tcW w:type="dxa" w:w="2074"/>
          </w:tcPr>
          <w:p>
            <w:r>
              <w:t>Session-related permission taxonomy</w:t>
            </w:r>
          </w:p>
        </w:tc>
        <w:tc>
          <w:tcPr>
            <w:tcW w:type="dxa" w:w="2074"/>
          </w:tcPr>
          <w:p>
            <w:r>
              <w:t>Session, Authorization</w:t>
            </w:r>
          </w:p>
        </w:tc>
        <w:tc>
          <w:tcPr>
            <w:tcW w:type="dxa" w:w="2074"/>
          </w:tcPr>
          <w:p>
            <w:r>
              <w:t>YES — semantic only</w:t>
            </w:r>
          </w:p>
        </w:tc>
        <w:tc>
          <w:tcPr>
            <w:tcW w:type="dxa" w:w="2074"/>
          </w:tcPr>
          <w:p>
            <w:r>
              <w:t>Use actor/capability boundaries; defer exact permission IDs.</w:t>
            </w:r>
          </w:p>
        </w:tc>
      </w:tr>
      <w:tr>
        <w:tc>
          <w:tcPr>
            <w:tcW w:type="dxa" w:w="2074"/>
          </w:tcPr>
          <w:p>
            <w:r>
              <w:t>MADCR-054</w:t>
            </w:r>
          </w:p>
        </w:tc>
        <w:tc>
          <w:tcPr>
            <w:tcW w:type="dxa" w:w="2074"/>
          </w:tcPr>
          <w:p>
            <w:r>
              <w:t>Host/Instructor authorization</w:t>
            </w:r>
          </w:p>
        </w:tc>
        <w:tc>
          <w:tcPr>
            <w:tcW w:type="dxa" w:w="2074"/>
          </w:tcPr>
          <w:p>
            <w:r>
              <w:t>Session, Authorization</w:t>
            </w:r>
          </w:p>
        </w:tc>
        <w:tc>
          <w:tcPr>
            <w:tcW w:type="dxa" w:w="2074"/>
          </w:tcPr>
          <w:p>
            <w:r>
              <w:t>YES — semantic only</w:t>
            </w:r>
          </w:p>
        </w:tc>
        <w:tc>
          <w:tcPr>
            <w:tcW w:type="dxa" w:w="2074"/>
          </w:tcPr>
          <w:p>
            <w:r>
              <w:t>Do not equate Instructor and Host without decision.</w:t>
            </w:r>
          </w:p>
        </w:tc>
      </w:tr>
      <w:tr>
        <w:tc>
          <w:tcPr>
            <w:tcW w:type="dxa" w:w="2074"/>
          </w:tcPr>
          <w:p>
            <w:r>
              <w:t>AEP3-OD-02</w:t>
            </w:r>
          </w:p>
        </w:tc>
        <w:tc>
          <w:tcPr>
            <w:tcW w:type="dxa" w:w="2074"/>
          </w:tcPr>
          <w:p>
            <w:r>
              <w:t>Authority/Scope cardinality</w:t>
            </w:r>
          </w:p>
        </w:tc>
        <w:tc>
          <w:tcPr>
            <w:tcW w:type="dxa" w:w="2074"/>
          </w:tcPr>
          <w:p>
            <w:r>
              <w:t>Awarding, Authorization</w:t>
            </w:r>
          </w:p>
        </w:tc>
        <w:tc>
          <w:tcPr>
            <w:tcW w:type="dxa" w:w="2074"/>
          </w:tcPr>
          <w:p>
            <w:r>
              <w:t>YES — logical only</w:t>
            </w:r>
          </w:p>
        </w:tc>
        <w:tc>
          <w:tcPr>
            <w:tcW w:type="dxa" w:w="2074"/>
          </w:tcPr>
          <w:p>
            <w:r>
              <w:t>Do not invent physical cardinality.</w:t>
            </w:r>
          </w:p>
        </w:tc>
      </w:tr>
      <w:tr>
        <w:tc>
          <w:tcPr>
            <w:tcW w:type="dxa" w:w="2074"/>
          </w:tcPr>
          <w:p>
            <w:r>
              <w:t>AEP3-OD-03</w:t>
            </w:r>
          </w:p>
        </w:tc>
        <w:tc>
          <w:tcPr>
            <w:tcW w:type="dxa" w:w="2074"/>
          </w:tcPr>
          <w:p>
            <w:r>
              <w:t>Lifecycle/Appeal storage</w:t>
            </w:r>
          </w:p>
        </w:tc>
        <w:tc>
          <w:tcPr>
            <w:tcW w:type="dxa" w:w="2074"/>
          </w:tcPr>
          <w:p>
            <w:r>
              <w:t>Awarding</w:t>
            </w:r>
          </w:p>
        </w:tc>
        <w:tc>
          <w:tcPr>
            <w:tcW w:type="dxa" w:w="2074"/>
          </w:tcPr>
          <w:p>
            <w:r>
              <w:t>YES — logical only</w:t>
            </w:r>
          </w:p>
        </w:tc>
        <w:tc>
          <w:tcPr>
            <w:tcW w:type="dxa" w:w="2074"/>
          </w:tcPr>
          <w:p>
            <w:r>
              <w:t>Defer storage mechanism.</w:t>
            </w:r>
          </w:p>
        </w:tc>
      </w:tr>
      <w:tr>
        <w:tc>
          <w:tcPr>
            <w:tcW w:type="dxa" w:w="2074"/>
          </w:tcPr>
          <w:p>
            <w:r>
              <w:t>AEP3-OD-04</w:t>
            </w:r>
          </w:p>
        </w:tc>
        <w:tc>
          <w:tcPr>
            <w:tcW w:type="dxa" w:w="2074"/>
          </w:tcPr>
          <w:p>
            <w:r>
              <w:t>Rule lineage cardinality</w:t>
            </w:r>
          </w:p>
        </w:tc>
        <w:tc>
          <w:tcPr>
            <w:tcW w:type="dxa" w:w="2074"/>
          </w:tcPr>
          <w:p>
            <w:r>
              <w:t>Awarding</w:t>
            </w:r>
          </w:p>
        </w:tc>
        <w:tc>
          <w:tcPr>
            <w:tcW w:type="dxa" w:w="2074"/>
          </w:tcPr>
          <w:p>
            <w:r>
              <w:t>YES — logical only</w:t>
            </w:r>
          </w:p>
        </w:tc>
        <w:tc>
          <w:tcPr>
            <w:tcW w:type="dxa" w:w="2074"/>
          </w:tcPr>
          <w:p>
            <w:r>
              <w:t>Preserve lineage concept; physical cardinality open.</w:t>
            </w:r>
          </w:p>
        </w:tc>
      </w:tr>
      <w:tr>
        <w:tc>
          <w:tcPr>
            <w:tcW w:type="dxa" w:w="2074"/>
          </w:tcPr>
          <w:p>
            <w:r>
              <w:t>AEP3-OD-05</w:t>
            </w:r>
          </w:p>
        </w:tc>
        <w:tc>
          <w:tcPr>
            <w:tcW w:type="dxa" w:w="2074"/>
          </w:tcPr>
          <w:p>
            <w:r>
              <w:t>Rule temporal semantics</w:t>
            </w:r>
          </w:p>
        </w:tc>
        <w:tc>
          <w:tcPr>
            <w:tcW w:type="dxa" w:w="2074"/>
          </w:tcPr>
          <w:p>
            <w:r>
              <w:t>Awarding</w:t>
            </w:r>
          </w:p>
        </w:tc>
        <w:tc>
          <w:tcPr>
            <w:tcW w:type="dxa" w:w="2074"/>
          </w:tcPr>
          <w:p>
            <w:r>
              <w:t>YES — logical only</w:t>
            </w:r>
          </w:p>
        </w:tc>
        <w:tc>
          <w:tcPr>
            <w:tcW w:type="dxa" w:w="2074"/>
          </w:tcPr>
          <w:p>
            <w:r>
              <w:t>Do not add effective-date invariant.</w:t>
            </w:r>
          </w:p>
        </w:tc>
      </w:tr>
      <w:tr>
        <w:tc>
          <w:tcPr>
            <w:tcW w:type="dxa" w:w="2074"/>
          </w:tcPr>
          <w:p>
            <w:r>
              <w:t>AEP4-OD-08</w:t>
            </w:r>
          </w:p>
        </w:tc>
        <w:tc>
          <w:tcPr>
            <w:tcW w:type="dxa" w:w="2074"/>
          </w:tcPr>
          <w:p>
            <w:r>
              <w:t>Automatic provider failover</w:t>
            </w:r>
          </w:p>
        </w:tc>
        <w:tc>
          <w:tcPr>
            <w:tcW w:type="dxa" w:w="2074"/>
          </w:tcPr>
          <w:p>
            <w:r>
              <w:t>Session, Provider Adapter</w:t>
            </w:r>
          </w:p>
        </w:tc>
        <w:tc>
          <w:tcPr>
            <w:tcW w:type="dxa" w:w="2074"/>
          </w:tcPr>
          <w:p>
            <w:r>
              <w:t>YES — optional/conditional</w:t>
            </w:r>
          </w:p>
        </w:tc>
        <w:tc>
          <w:tcPr>
            <w:tcW w:type="dxa" w:w="2074"/>
          </w:tcPr>
          <w:p>
            <w:r>
              <w:t>Provider switching is supported semantically; automatic failover remains open.</w:t>
            </w:r>
          </w:p>
        </w:tc>
      </w:tr>
      <w:tr>
        <w:tc>
          <w:tcPr>
            <w:tcW w:type="dxa" w:w="2074"/>
          </w:tcPr>
          <w:p>
            <w:r>
              <w:t>OPEN-C01 / MADCR-012</w:t>
            </w:r>
          </w:p>
        </w:tc>
        <w:tc>
          <w:tcPr>
            <w:tcW w:type="dxa" w:w="2074"/>
          </w:tcPr>
          <w:p>
            <w:r>
              <w:t>Commercial AEP provenance relationship</w:t>
            </w:r>
          </w:p>
        </w:tc>
        <w:tc>
          <w:tcPr>
            <w:tcW w:type="dxa" w:w="2074"/>
          </w:tcPr>
          <w:p>
            <w:r>
              <w:t>Commercial</w:t>
            </w:r>
          </w:p>
        </w:tc>
        <w:tc>
          <w:tcPr>
            <w:tcW w:type="dxa" w:w="2074"/>
          </w:tcPr>
          <w:p>
            <w:r>
              <w:t>YES</w:t>
            </w:r>
          </w:p>
        </w:tc>
        <w:tc>
          <w:tcPr>
            <w:tcW w:type="dxa" w:w="2074"/>
          </w:tcPr>
          <w:p>
            <w:r>
              <w:t>Carry provenance ambiguity; no hierarchy/supersession inference.</w:t>
            </w:r>
          </w:p>
        </w:tc>
      </w:tr>
      <w:tr>
        <w:tc>
          <w:tcPr>
            <w:tcW w:type="dxa" w:w="2074"/>
          </w:tcPr>
          <w:p>
            <w:r>
              <w:t>MBR-COM-001–013</w:t>
            </w:r>
          </w:p>
        </w:tc>
        <w:tc>
          <w:tcPr>
            <w:tcW w:type="dxa" w:w="2074"/>
          </w:tcPr>
          <w:p>
            <w:r>
              <w:t>Commercial rule evidence gap</w:t>
            </w:r>
          </w:p>
        </w:tc>
        <w:tc>
          <w:tcPr>
            <w:tcW w:type="dxa" w:w="2074"/>
          </w:tcPr>
          <w:p>
            <w:r>
              <w:t>Commercial</w:t>
            </w:r>
          </w:p>
        </w:tc>
        <w:tc>
          <w:tcPr>
            <w:tcW w:type="dxa" w:w="2074"/>
          </w:tcPr>
          <w:p>
            <w:r>
              <w:t>YES — with evidence note</w:t>
            </w:r>
          </w:p>
        </w:tc>
        <w:tc>
          <w:tcPr>
            <w:tcW w:type="dxa" w:w="2074"/>
          </w:tcPr>
          <w:p>
            <w:r>
              <w:t>Do not invent mappings; keep evidence-gap flag.</w:t>
            </w:r>
          </w:p>
        </w:tc>
      </w:tr>
    </w:tbl>
    <w:p>
      <w:pPr>
        <w:pStyle w:val="Heading1"/>
      </w:pPr>
      <w:r>
        <w:t>10. Cross-AEP Risk Controls</w:t>
      </w:r>
    </w:p>
    <w:p>
      <w:pPr>
        <w:pStyle w:val="ListBullet"/>
      </w:pPr>
      <w:r>
        <w:t>No domain may write another domain's authoritative state merely because it receives an event or completion.</w:t>
      </w:r>
    </w:p>
    <w:p>
      <w:pPr>
        <w:pStyle w:val="ListBullet"/>
      </w:pPr>
      <w:r>
        <w:t>No provider-specific field may become the semantic identity of Learning Session.</w:t>
      </w:r>
    </w:p>
    <w:p>
      <w:pPr>
        <w:pStyle w:val="ListBullet"/>
      </w:pPr>
      <w:r>
        <w:t>No Payment success event may be treated as Learning, Session, Credential or Award authority.</w:t>
      </w:r>
    </w:p>
    <w:p>
      <w:pPr>
        <w:pStyle w:val="ListBullet"/>
      </w:pPr>
      <w:r>
        <w:t>No Learning completion may bypass assessment/qualification rules.</w:t>
      </w:r>
    </w:p>
    <w:p>
      <w:pPr>
        <w:pStyle w:val="ListBullet"/>
      </w:pPr>
      <w:r>
        <w:t>No Certificate/Credential storage may be repurposed for Award Instance.</w:t>
      </w:r>
    </w:p>
    <w:p>
      <w:pPr>
        <w:pStyle w:val="ListBullet"/>
      </w:pPr>
      <w:r>
        <w:t>No Event Registration record may be silently reused as Session Enrollment.</w:t>
      </w:r>
    </w:p>
    <w:p>
      <w:pPr>
        <w:pStyle w:val="ListBullet"/>
      </w:pPr>
      <w:r>
        <w:t>No RBAC role may be treated as a qualification, title, credential or commercial entitlement.</w:t>
      </w:r>
    </w:p>
    <w:p>
      <w:pPr>
        <w:pStyle w:val="ListBullet"/>
      </w:pPr>
      <w:r>
        <w:t>No global document update may silently change a historical approved decision.</w:t>
      </w:r>
    </w:p>
    <w:p>
      <w:pPr>
        <w:pStyle w:val="Heading1"/>
      </w:pPr>
      <w:r>
        <w:t>11. Step 02 Gate Assessment</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Gate</w:t>
            </w:r>
          </w:p>
        </w:tc>
        <w:tc>
          <w:tcPr>
            <w:tcW w:type="dxa" w:w="2592"/>
          </w:tcPr>
          <w:p>
            <w:r>
              <w:t>Result</w:t>
            </w:r>
          </w:p>
        </w:tc>
        <w:tc>
          <w:tcPr>
            <w:tcW w:type="dxa" w:w="2592"/>
          </w:tcPr>
          <w:p>
            <w:r>
              <w:t>Finding</w:t>
            </w:r>
          </w:p>
        </w:tc>
        <w:tc>
          <w:tcPr>
            <w:tcW w:type="dxa" w:w="2592"/>
          </w:tcPr>
          <w:p>
            <w:r>
              <w:t>Disposition</w:t>
            </w:r>
          </w:p>
        </w:tc>
      </w:tr>
      <w:tr>
        <w:tc>
          <w:tcPr>
            <w:tcW w:type="dxa" w:w="2592"/>
          </w:tcPr>
          <w:p>
            <w:r>
              <w:t>Cross-domain ownership</w:t>
            </w:r>
          </w:p>
        </w:tc>
        <w:tc>
          <w:tcPr>
            <w:tcW w:type="dxa" w:w="2592"/>
          </w:tcPr>
          <w:p>
            <w:r>
              <w:t>PASS</w:t>
            </w:r>
          </w:p>
        </w:tc>
        <w:tc>
          <w:tcPr>
            <w:tcW w:type="dxa" w:w="2592"/>
          </w:tcPr>
          <w:p>
            <w:r>
              <w:t>All four AEP domains have explicit authority boundaries.</w:t>
            </w:r>
          </w:p>
        </w:tc>
        <w:tc>
          <w:tcPr>
            <w:tcW w:type="dxa" w:w="2592"/>
          </w:tcPr>
          <w:p>
            <w:r>
              <w:t>Proceed.</w:t>
            </w:r>
          </w:p>
        </w:tc>
      </w:tr>
      <w:tr>
        <w:tc>
          <w:tcPr>
            <w:tcW w:type="dxa" w:w="2592"/>
          </w:tcPr>
          <w:p>
            <w:r>
              <w:t>Shared concept ownership</w:t>
            </w:r>
          </w:p>
        </w:tc>
        <w:tc>
          <w:tcPr>
            <w:tcW w:type="dxa" w:w="2592"/>
          </w:tcPr>
          <w:p>
            <w:r>
              <w:t>PASS</w:t>
            </w:r>
          </w:p>
        </w:tc>
        <w:tc>
          <w:tcPr>
            <w:tcW w:type="dxa" w:w="2592"/>
          </w:tcPr>
          <w:p>
            <w:r>
              <w:t>Identity, payment, entitlement, LP, activity, session, evidence, credential and award ownership are assignable without collision.</w:t>
            </w:r>
          </w:p>
        </w:tc>
        <w:tc>
          <w:tcPr>
            <w:tcW w:type="dxa" w:w="2592"/>
          </w:tcPr>
          <w:p>
            <w:r>
              <w:t>Proceed.</w:t>
            </w:r>
          </w:p>
        </w:tc>
      </w:tr>
      <w:tr>
        <w:tc>
          <w:tcPr>
            <w:tcW w:type="dxa" w:w="2592"/>
          </w:tcPr>
          <w:p>
            <w:r>
              <w:t>Cross-domain contracts</w:t>
            </w:r>
          </w:p>
        </w:tc>
        <w:tc>
          <w:tcPr>
            <w:tcW w:type="dxa" w:w="2592"/>
          </w:tcPr>
          <w:p>
            <w:r>
              <w:t>PASS WITH CONDITIONS</w:t>
            </w:r>
          </w:p>
        </w:tc>
        <w:tc>
          <w:tcPr>
            <w:tcW w:type="dxa" w:w="2592"/>
          </w:tcPr>
          <w:p>
            <w:r>
              <w:t>Handoffs are semantically defined; MADCR-049 and authorization/provider residuals remain conditional.</w:t>
            </w:r>
          </w:p>
        </w:tc>
        <w:tc>
          <w:tcPr>
            <w:tcW w:type="dxa" w:w="2592"/>
          </w:tcPr>
          <w:p>
            <w:r>
              <w:t>Proceed with conditional markers.</w:t>
            </w:r>
          </w:p>
        </w:tc>
      </w:tr>
      <w:tr>
        <w:tc>
          <w:tcPr>
            <w:tcW w:type="dxa" w:w="2592"/>
          </w:tcPr>
          <w:p>
            <w:r>
              <w:t>Dependency ordering</w:t>
            </w:r>
          </w:p>
        </w:tc>
        <w:tc>
          <w:tcPr>
            <w:tcW w:type="dxa" w:w="2592"/>
          </w:tcPr>
          <w:p>
            <w:r>
              <w:t>PASS</w:t>
            </w:r>
          </w:p>
        </w:tc>
        <w:tc>
          <w:tcPr>
            <w:tcW w:type="dxa" w:w="2592"/>
          </w:tcPr>
          <w:p>
            <w:r>
              <w:t>D0–D6 order is compatible with locked AEP sequence and avoids circular synchronization.</w:t>
            </w:r>
          </w:p>
        </w:tc>
        <w:tc>
          <w:tcPr>
            <w:tcW w:type="dxa" w:w="2592"/>
          </w:tcPr>
          <w:p>
            <w:r>
              <w:t>Proceed.</w:t>
            </w:r>
          </w:p>
        </w:tc>
      </w:tr>
      <w:tr>
        <w:tc>
          <w:tcPr>
            <w:tcW w:type="dxa" w:w="2592"/>
          </w:tcPr>
          <w:p>
            <w:r>
              <w:t>Legacy/stale correction list</w:t>
            </w:r>
          </w:p>
        </w:tc>
        <w:tc>
          <w:tcPr>
            <w:tcW w:type="dxa" w:w="2592"/>
          </w:tcPr>
          <w:p>
            <w:r>
              <w:t>PASS</w:t>
            </w:r>
          </w:p>
        </w:tc>
        <w:tc>
          <w:tcPr>
            <w:tcW w:type="dxa" w:w="2592"/>
          </w:tcPr>
          <w:p>
            <w:r>
              <w:t>AEP4/AEP2/AEP3 reconciliation findings are captured as controlled deltas.</w:t>
            </w:r>
          </w:p>
        </w:tc>
        <w:tc>
          <w:tcPr>
            <w:tcW w:type="dxa" w:w="2592"/>
          </w:tcPr>
          <w:p>
            <w:r>
              <w:t>Proceed.</w:t>
            </w:r>
          </w:p>
        </w:tc>
      </w:tr>
      <w:tr>
        <w:tc>
          <w:tcPr>
            <w:tcW w:type="dxa" w:w="2592"/>
          </w:tcPr>
          <w:p>
            <w:r>
              <w:t>Global baseline rewrite readiness</w:t>
            </w:r>
          </w:p>
        </w:tc>
        <w:tc>
          <w:tcPr>
            <w:tcW w:type="dxa" w:w="2592"/>
          </w:tcPr>
          <w:p>
            <w:r>
              <w:t>READY FOR STEP 03</w:t>
            </w:r>
          </w:p>
        </w:tc>
        <w:tc>
          <w:tcPr>
            <w:tcW w:type="dxa" w:w="2592"/>
          </w:tcPr>
          <w:p>
            <w:r>
              <w:t>Delta set is sufficiently explicit to build the Global Synchronization Execution Plan; actual baseline files remain untouched.</w:t>
            </w:r>
          </w:p>
        </w:tc>
        <w:tc>
          <w:tcPr>
            <w:tcW w:type="dxa" w:w="2592"/>
          </w:tcPr>
          <w:p>
            <w:r>
              <w:t>Proceed to Step 03.</w:t>
            </w:r>
          </w:p>
        </w:tc>
      </w:tr>
    </w:tbl>
    <w:p>
      <w:pPr>
        <w:pStyle w:val="Heading1"/>
      </w:pPr>
      <w:r>
        <w:t>12. User Open Decision Assessment</w:t>
      </w:r>
    </w:p>
    <w:p>
      <w:r>
        <w:t>NO NEW USER OPEN DECISION IS REQUIRED FOR STEP 02. Existing residual decisions remain explicitly open and are carried forward. The next step can therefore be executed without asking the user to re-decide already governed architecture.</w:t>
      </w:r>
    </w:p>
    <w:p>
      <w:pPr>
        <w:pStyle w:val="Heading1"/>
      </w:pPr>
      <w:r>
        <w:t>13. Step 02 Conclusion</w:t>
      </w:r>
    </w:p>
    <w:p>
      <w:r>
        <w:t>RESULT: PASS — CROSS-AEP ARCHITECTURE DELTA AND DEPENDENCY SPECIFICATION ESTABLISHED. The four AEPs can be translated into a coherent project-wide synchronization plan without reopening approved decisions. The specification establishes domain ownership, shared concepts, cross-domain contracts, dependency order, stale-document corrections, and conditional treatment for unresolved items.</w:t>
      </w:r>
    </w:p>
    <w:p>
      <w:pPr>
        <w:pStyle w:val="Heading1"/>
      </w:pPr>
      <w:r>
        <w:t>14. Next Step</w:t>
      </w:r>
    </w:p>
    <w:p>
      <w:r>
        <w:t>STEP 03 — Global Synchronization Execution Plan &amp; Artifact Change Map. Step 03 will map every approved/controlled delta to the actual current project files, define the exact change scope per file, sequence the updates, and establish the final pre-edit gate. No baseline file will be rewritten until that map is complete and checked against the evidence corpus.</w:t>
      </w:r>
    </w:p>
    <w:p>
      <w:pPr>
        <w:pStyle w:val="Heading1"/>
      </w:pPr>
      <w:r>
        <w:t>15. Evidence Basis</w:t>
      </w:r>
    </w:p>
    <w:p>
      <w:pPr>
        <w:pStyle w:val="ListBullet"/>
      </w:pPr>
      <w:r>
        <w:t>RUMAHAGEN AEP Synchronization Execution Lock v1.0.</w:t>
      </w:r>
    </w:p>
    <w:p>
      <w:pPr>
        <w:pStyle w:val="ListBullet"/>
      </w:pPr>
      <w:r>
        <w:t>Cross-AEP Step 01 Canonical Consolidation Matrix v1.0.</w:t>
      </w:r>
    </w:p>
    <w:p>
      <w:pPr>
        <w:pStyle w:val="ListBullet"/>
      </w:pPr>
      <w:r>
        <w:t>AEP1 Final Synchronization &amp; Reconciliation v1.0 and AEP1 impact artifacts.</w:t>
      </w:r>
    </w:p>
    <w:p>
      <w:pPr>
        <w:pStyle w:val="ListBullet"/>
      </w:pPr>
      <w:r>
        <w:t>AEP2 Final Synchronization Record v1.0, AEP2 decision formalization, and AEP2 impact/reconciliation artifacts.</w:t>
      </w:r>
    </w:p>
    <w:p>
      <w:pPr>
        <w:pStyle w:val="ListBullet"/>
      </w:pPr>
      <w:r>
        <w:t>AEP3 Consolidation Architecture Review v1.0, Controlled Synchronization Execution Report v1.0, and Final Synchronization Package v1.0.</w:t>
      </w:r>
    </w:p>
    <w:p>
      <w:pPr>
        <w:pStyle w:val="ListBullet"/>
      </w:pPr>
      <w:r>
        <w:t>AEP4 Step 15 Cross-Document Reconciliation v1.0 and Step 16 Final Synchronization Consolidated Package v1.0.</w:t>
      </w:r>
    </w:p>
    <w:p>
      <w:pPr>
        <w:pStyle w:val="ListBullet"/>
      </w:pPr>
      <w:r>
        <w:t>MADCR-010, MADCR-011, MADCR-036, MADCR-037, MADCR-041, MADCR-046 and associated ARB/ADR records.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