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04 — D0 Authority &amp; Vocabulary + D1 Commercial/Payment Foundation</w:t>
      </w:r>
    </w:p>
    <w:p>
      <w:pPr>
        <w:jc w:val="center"/>
      </w:pPr>
      <w:r>
        <w:rPr>
          <w:i/>
        </w:rPr>
        <w:t>Version 1.0 | 16 August 2026 | PASS — Semantic Baseline Synchronization Complete</w:t>
      </w:r>
    </w:p>
    <w:p>
      <w:pPr>
        <w:pStyle w:val="Heading1"/>
      </w:pPr>
      <w:r>
        <w:t>1. Scope Executed</w:t>
      </w:r>
    </w:p>
    <w:p>
      <w:r>
        <w:t>D0 Authority &amp; Vocabulary + D1 Commercial/Payment semantic foundation.</w:t>
      </w:r>
    </w:p>
    <w:p>
      <w:pPr>
        <w:pStyle w:val="Heading1"/>
      </w:pPr>
      <w:r>
        <w:t>2. Baseline Files Synchronized</w:t>
      </w:r>
    </w:p>
    <w:p>
      <w:r>
        <w:t>PROJECT-CONSTITUTION v1.10; SYSTEM-ARCHITECTURE v1.7; project-manifest v1.29; document-governance-baseline-register v1.12; CURRENT-PROJECT-STATE rev.11. Original baseline files were preserved unchanged.</w:t>
      </w:r>
    </w:p>
    <w:p>
      <w:pPr>
        <w:pStyle w:val="Heading1"/>
      </w:pPr>
      <w:r>
        <w:t>3. D0 Result</w:t>
      </w:r>
    </w:p>
    <w:p>
      <w:r>
        <w:t>Approved ADR/MADCR decisions remain authoritative within their explicit scope; Constitution remains the binding downstream rule-set; AEP artifacts are controlled translation/evidence, not independent authority.</w:t>
      </w:r>
    </w:p>
    <w:p>
      <w:pPr>
        <w:pStyle w:val="Heading1"/>
      </w:pPr>
      <w:r>
        <w:t>4. D1 Result</w:t>
      </w:r>
    </w:p>
    <w:p>
      <w:r>
        <w:t>Canonical chain: Commercial Context → Order → Payment Core → Provider Adapter → Provider Result → Verification → Idempotency Check → Payment Confirmed → Commercial Fulfillment → Subscription / Add-on / Commercial Entitlement → Quota Capacity → Operational Pool → Allocation / Usage.</w:t>
      </w:r>
    </w:p>
    <w:p>
      <w:pPr>
        <w:pStyle w:val="Heading1"/>
      </w:pPr>
      <w:r>
        <w:t>5. Core Invariants</w:t>
      </w:r>
    </w:p>
    <w:p>
      <w:r>
        <w:t>Subscription ≠ Commercial Entitlement ≠ RBAC; Payment Core is provider-independent; provider callback ≠ Payment Confirmed; verification + idempotency precede fulfillment; Commercial Entitlement owns quota-capacity authority; historical commercial snapshot is immutable after confirmation; payment does not directly mutate RBAC.</w:t>
      </w:r>
    </w:p>
    <w:p>
      <w:pPr>
        <w:pStyle w:val="Heading1"/>
      </w:pPr>
      <w:r>
        <w:t>6. Deliberately Not Finalized</w:t>
      </w:r>
    </w:p>
    <w:p>
      <w:r>
        <w:t>Physical commercial/payment ERD tables/cardinalities; exact database dictionary/migration; exact API endpoints/payloads/state enums; exact RBAC IDs; provider selection/credentials; exact idempotency persistence mechanics; unresolved refund/chargeback policy.</w:t>
      </w:r>
    </w:p>
    <w:p>
      <w:pPr>
        <w:pStyle w:val="Heading1"/>
      </w:pPr>
      <w:r>
        <w:t>7. Reconciliation Result</w:t>
      </w:r>
    </w:p>
    <w:p>
      <w:r>
        <w:t>No authority leakage introduced; no provider coupling introduced; no physical schema/API/migration invented; no residual silently closed; historical source artifacts preserved.</w:t>
      </w:r>
    </w:p>
    <w:p>
      <w:pPr>
        <w:pStyle w:val="Heading1"/>
      </w:pPr>
      <w:r>
        <w:t>8. Residuals</w:t>
      </w:r>
    </w:p>
    <w:p>
      <w:r>
        <w:t>OPEN-C01 / MADCR-012; MBR-COM-001–013; MADCR-049; MADCR-053/054; AEP3-OD-02…05; AEP4-OD-08.</w:t>
      </w:r>
    </w:p>
    <w:p>
      <w:pPr>
        <w:pStyle w:val="Heading1"/>
      </w:pPr>
      <w:r>
        <w:t>9. Gate</w:t>
      </w:r>
    </w:p>
    <w:p>
      <w:r>
        <w:t>PASS — D0 + D1 semantic baseline synchronization complete. Application/database implementation is not authorized by this step.</w:t>
      </w:r>
    </w:p>
    <w:p>
      <w:pPr>
        <w:pStyle w:val="Heading1"/>
      </w:pPr>
      <w:r>
        <w:t>10. Next Step</w:t>
      </w:r>
    </w:p>
    <w:p>
      <w:r>
        <w:t>STEP 05 — D1 Downstream Commercial/Payment Synchronization across ERD, Database Dictionary, API, Authorization/RBAC, PRD/User Flow and Business Rule traceability, without inventing unresolved physical details.</w:t>
      </w:r>
    </w:p>
    <w:p>
      <w:pPr>
        <w:pStyle w:val="Heading1"/>
      </w:pPr>
      <w:r>
        <w:t>11. Post-Edit Reconciliation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Result</w:t>
            </w:r>
          </w:p>
        </w:tc>
      </w:tr>
      <w:tr>
        <w:tc>
          <w:tcPr>
            <w:tcW w:type="dxa" w:w="5112"/>
          </w:tcPr>
          <w:p>
            <w:r>
              <w:t>Authority leakage introduced?</w:t>
            </w:r>
          </w:p>
        </w:tc>
        <w:tc>
          <w:tcPr>
            <w:tcW w:type="dxa" w:w="5112"/>
          </w:tcPr>
          <w:p>
            <w:r>
              <w:t>PASS — none identified</w:t>
            </w:r>
          </w:p>
        </w:tc>
      </w:tr>
      <w:tr>
        <w:tc>
          <w:tcPr>
            <w:tcW w:type="dxa" w:w="5112"/>
          </w:tcPr>
          <w:p>
            <w:r>
              <w:t>Subscription / Entitlement / RBAC separation?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Payment Core/provider coupling introduced?</w:t>
            </w:r>
          </w:p>
        </w:tc>
        <w:tc>
          <w:tcPr>
            <w:tcW w:type="dxa" w:w="5112"/>
          </w:tcPr>
          <w:p>
            <w:r>
              <w:t>PASS — no provider selected</w:t>
            </w:r>
          </w:p>
        </w:tc>
      </w:tr>
      <w:tr>
        <w:tc>
          <w:tcPr>
            <w:tcW w:type="dxa" w:w="5112"/>
          </w:tcPr>
          <w:p>
            <w:r>
              <w:t>Verification before fulfillment?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Idempotency before fulfillment?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Historical snapshot invariant?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Configurable parameter/history separation?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New physical schema/API/migration invented?</w:t>
            </w:r>
          </w:p>
        </w:tc>
        <w:tc>
          <w:tcPr>
            <w:tcW w:type="dxa" w:w="5112"/>
          </w:tcPr>
          <w:p>
            <w:r>
              <w:t>PASS — none</w:t>
            </w:r>
          </w:p>
        </w:tc>
      </w:tr>
      <w:tr>
        <w:tc>
          <w:tcPr>
            <w:tcW w:type="dxa" w:w="5112"/>
          </w:tcPr>
          <w:p>
            <w:r>
              <w:t>Existing residuals silently closed?</w:t>
            </w:r>
          </w:p>
        </w:tc>
        <w:tc>
          <w:tcPr>
            <w:tcW w:type="dxa" w:w="5112"/>
          </w:tcPr>
          <w:p>
            <w:r>
              <w:t>PASS — none</w:t>
            </w:r>
          </w:p>
        </w:tc>
      </w:tr>
      <w:tr>
        <w:tc>
          <w:tcPr>
            <w:tcW w:type="dxa" w:w="5112"/>
          </w:tcPr>
          <w:p>
            <w:r>
              <w:t>Historical source artifacts overwritten?</w:t>
            </w:r>
          </w:p>
        </w:tc>
        <w:tc>
          <w:tcPr>
            <w:tcW w:type="dxa" w:w="5112"/>
          </w:tcPr>
          <w:p>
            <w:r>
              <w:t>PASS — originals preserved</w:t>
            </w:r>
          </w:p>
        </w:tc>
      </w:tr>
    </w:tbl>
    <w:p>
      <w:pPr>
        <w:pStyle w:val="Heading1"/>
      </w:pPr>
      <w:r>
        <w:t>12. Synchronized Artifacts</w:t>
      </w:r>
    </w:p>
    <w:p>
      <w:pPr>
        <w:pStyle w:val="ListBullet"/>
      </w:pPr>
      <w:r>
        <w:t>CURRENT-PROJECT-STATE-rev11-CROSS-AEP-D0-D1.md</w:t>
      </w:r>
    </w:p>
    <w:p>
      <w:pPr>
        <w:pStyle w:val="ListBullet"/>
      </w:pPr>
      <w:r>
        <w:t>PROJECT-CONSTITUTION-v1_10-CROSS-AEP-D0-D1.md</w:t>
      </w:r>
    </w:p>
    <w:p>
      <w:pPr>
        <w:pStyle w:val="ListBullet"/>
      </w:pPr>
      <w:r>
        <w:t>RUMAHAGEN-CROSS-AEP-STEP-04-D0-D1-POST-EDIT-RECONCILIATION-v1.0.md</w:t>
      </w:r>
    </w:p>
    <w:p>
      <w:pPr>
        <w:pStyle w:val="ListBullet"/>
      </w:pPr>
      <w:r>
        <w:t>SYSTEM-ARCHITECTURE-v1_7-CROSS-AEP-D0-D1.md</w:t>
      </w:r>
    </w:p>
    <w:p>
      <w:pPr>
        <w:pStyle w:val="ListBullet"/>
      </w:pPr>
      <w:r>
        <w:t>document-governance-baseline-register-v1_12-CROSS-AEP-D0-D1.md</w:t>
      </w:r>
    </w:p>
    <w:p>
      <w:pPr>
        <w:pStyle w:val="ListBullet"/>
      </w:pPr>
      <w:r>
        <w:t>project-manifest-v1_29-CROSS-AEP-D0-D1.md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