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RUMAHAGEN — Cross-AEP Consolidation</w:t>
      </w:r>
    </w:p>
    <w:p>
      <w:pPr>
        <w:jc w:val="center"/>
      </w:pPr>
      <w:r>
        <w:rPr>
          <w:b/>
          <w:sz w:val="24"/>
        </w:rPr>
        <w:t>STEP 05 — D1 Downstream Commercial/Payment Synchronization</w:t>
      </w:r>
    </w:p>
    <w:p>
      <w:pPr>
        <w:jc w:val="center"/>
      </w:pPr>
      <w:r>
        <w:rPr>
          <w:i/>
        </w:rPr>
        <w:t>Version 1.0 | 16 August 2026 | PASS — D1 Downstream Semantic Synchronization Complete</w:t>
      </w:r>
    </w:p>
    <w:p>
      <w:pPr>
        <w:pStyle w:val="Heading1"/>
      </w:pPr>
      <w:r>
        <w:t>1. Scope</w:t>
      </w:r>
    </w:p>
    <w:p>
      <w:r>
        <w:t>ERD → Database Dictionary → API → Authorization/RBAC → PRD → User Flow → Business Rule Traceability.</w:t>
      </w:r>
    </w:p>
    <w:p>
      <w:pPr>
        <w:pStyle w:val="Heading1"/>
      </w:pPr>
      <w:r>
        <w:t>2. Synchronized Artifacts</w:t>
      </w:r>
    </w:p>
    <w:p>
      <w:r>
        <w:t>ERD-Skema-Database-RUMAHAGEN-v1_5-CROSS-AEP-D1.md</w:t>
        <w:br/>
        <w:t>Database-Dictionary-Migration-Ready-v1_1-CROSS-AEP-D1.md</w:t>
        <w:br/>
        <w:t>API-Specification-RUMAHAGEN-v1_4-CROSS-AEP-D1.md</w:t>
        <w:br/>
        <w:t>Authorization-Access-Control-Specification-v1_2-CROSS-AEP-D1.md</w:t>
        <w:br/>
        <w:t>PRD-RUMAHAGEN-v1_4-CROSS-AEP-D1.md</w:t>
        <w:br/>
        <w:t>User-Flow-RUMAHAGEN-v1_3-CROSS-AEP-D1.md</w:t>
        <w:br/>
        <w:t>D1-COMMERCIAL-PAYMENT-BUSINESS-RULE-TRACEABILITY-ADDENDUM-v1.0.md</w:t>
      </w:r>
    </w:p>
    <w:p>
      <w:pPr>
        <w:pStyle w:val="Heading1"/>
      </w:pPr>
      <w:r>
        <w:t>3. Canonical Chain</w:t>
      </w:r>
    </w:p>
    <w:p>
      <w:r>
        <w:t>Commercial Context → Order → Payment Core → Provider Adapter → Provider Result → Verification → Idempotency Check → Payment Confirmed → Commercial Fulfillment → Subscription / Add-on / Commercial Entitlement → Quota Capacity / Access.</w:t>
      </w:r>
    </w:p>
    <w:p>
      <w:pPr>
        <w:pStyle w:val="Heading1"/>
      </w:pPr>
      <w:r>
        <w:t>4. Physical Hold</w:t>
      </w:r>
    </w:p>
    <w:p>
      <w:r>
        <w:t>No exact table/cardinality/index, API endpoint/payload/state enum, RBAC permission ID, idempotency/verification storage or migration SQL was invented.</w:t>
      </w:r>
    </w:p>
    <w:p>
      <w:pPr>
        <w:pStyle w:val="Heading1"/>
      </w:pPr>
      <w:r>
        <w:t>5. Residuals</w:t>
      </w:r>
    </w:p>
    <w:p>
      <w:r>
        <w:t>OPEN-C01 / MADCR-012; MBR-COM-001–013; exact physical schema; exact API contract; exact RBAC IDs/scopes; refund/chargeback policy details where not governed.</w:t>
      </w:r>
    </w:p>
    <w:p>
      <w:pPr>
        <w:pStyle w:val="Heading1"/>
      </w:pPr>
      <w:r>
        <w:t>6. Gate</w:t>
      </w:r>
    </w:p>
    <w:p>
      <w:r>
        <w:t>PASS — D1 downstream semantic synchronization complete. Physical implementation remains downstream.</w:t>
      </w:r>
    </w:p>
    <w:p>
      <w:pPr>
        <w:pStyle w:val="Heading1"/>
      </w:pPr>
      <w:r>
        <w:t>7. Next Step</w:t>
      </w:r>
    </w:p>
    <w:p>
      <w:r>
        <w:t>STEP 06 — D2 Learning Economy Downstream Synchronization, preserving MADCR-049 as conditional dependency.</w:t>
      </w:r>
    </w:p>
    <w:p>
      <w:pPr>
        <w:pStyle w:val="Heading1"/>
      </w:pPr>
      <w:r>
        <w:t>8. Reconciliation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Subscription / Entitlement / RBAC separation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Commercial Entitlement quota authority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Payment/provider boundary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Verification before fulfillment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Idempotency requirement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No direct Payment→RBAC mutation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Historical purchase snapshot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Reconciliation non-automatic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Refund/chargeback separation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No physical schema/API/RBAC invention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MBR-COM-001–013 not invented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