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RUMAHAGEN — Cross-AEP Consolidation</w:t>
      </w:r>
    </w:p>
    <w:p>
      <w:pPr>
        <w:jc w:val="center"/>
      </w:pPr>
      <w:r>
        <w:rPr>
          <w:b/>
          <w:sz w:val="24"/>
        </w:rPr>
        <w:t>STEP 06 — D2 Learning Economy Downstream Synchronization</w:t>
      </w:r>
    </w:p>
    <w:p>
      <w:pPr>
        <w:jc w:val="center"/>
      </w:pPr>
      <w:r>
        <w:rPr>
          <w:i/>
        </w:rPr>
        <w:t>Version 1.0 | 16 August 2026 | PASS WITH CONTROLLED RESIDUAL</w:t>
      </w:r>
    </w:p>
    <w:p>
      <w:pPr>
        <w:pStyle w:val="Heading1"/>
      </w:pPr>
      <w:r>
        <w:t>1. Scope</w:t>
      </w:r>
    </w:p>
    <w:p>
      <w:r>
        <w:t>ERD → Database Dictionary → API → RBAC/Authorization → PRD → User Flow → Business Rule Traceability.</w:t>
      </w:r>
    </w:p>
    <w:p>
      <w:pPr>
        <w:pStyle w:val="Heading1"/>
      </w:pPr>
      <w:r>
        <w:t>2. Canonical ADR State</w:t>
      </w:r>
    </w:p>
    <w:p>
      <w:r>
        <w:t>ADR-LE-001, 002, 003, 004, 006, 007, 008 = LOCKED BY USER DECISION. ADR-LE-005 = DERIVED / GOVERNED BY MADCR-011; NOT INDEPENDENTLY LOCKED.</w:t>
      </w:r>
    </w:p>
    <w:p>
      <w:pPr>
        <w:pStyle w:val="Heading1"/>
      </w:pPr>
      <w:r>
        <w:t>3. Learning Economy Model</w:t>
      </w:r>
    </w:p>
    <w:p>
      <w:r>
        <w:t>Learn for free → earn LP → progress/unlock → optionally purchase LP to accelerate → prove competency/assessment → credential/skill when governed.</w:t>
      </w:r>
    </w:p>
    <w:p>
      <w:pPr>
        <w:pStyle w:val="Heading1"/>
      </w:pPr>
      <w:r>
        <w:t>4. Core Invariants</w:t>
      </w:r>
    </w:p>
    <w:p>
      <w:r>
        <w:t>LP is transaction/ledger based; earned/purchased provenance is distinct; pay-to-accelerate ≠ pay-to-pass; completion ≠ automatic Skill/Credential; Payment is Commercial-owned; LP ≠ Commercial Entitlement; partner provenance retained; configuration does not rewrite history.</w:t>
      </w:r>
    </w:p>
    <w:p>
      <w:pPr>
        <w:pStyle w:val="Heading1"/>
      </w:pPr>
      <w:r>
        <w:t>5. MADCR-049</w:t>
      </w:r>
    </w:p>
    <w:p>
      <w:r>
        <w:t>OPEN / RE-EVALUATION. Learning Activity may be referenced semantically, but D2 artifacts are not closure evidence.</w:t>
      </w:r>
    </w:p>
    <w:p>
      <w:pPr>
        <w:pStyle w:val="Heading1"/>
      </w:pPr>
      <w:r>
        <w:t>6. Gate</w:t>
      </w:r>
    </w:p>
    <w:p>
      <w:r>
        <w:t>PASS WITH CONTROLLED RESIDUAL — D2 downstream semantic synchronization complete. No new user decision required.</w:t>
      </w:r>
    </w:p>
    <w:p>
      <w:pPr>
        <w:pStyle w:val="Heading1"/>
      </w:pPr>
      <w:r>
        <w:t>7. Next Step</w:t>
      </w:r>
    </w:p>
    <w:p>
      <w:r>
        <w:t>STEP 07 — D3 Learning Session Downstream Synchronization, preserving MADCR-049, MADCR-053/054 and AEP4-OD-08.</w:t>
      </w:r>
    </w:p>
    <w:p>
      <w:pPr>
        <w:pStyle w:val="Heading1"/>
      </w:pPr>
      <w:r>
        <w:t>8. Reconciliation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LP ledger/provenance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Earned vs Purchased provenance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Pay-to-Accelerate boundary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Internal vs Partnership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Completion/Credential separation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Purchased LP idempotency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Payment ownership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LP vs Entitlement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RBAC vs LP authority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Credential vs Title/Award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Configuration/history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MADCR-049 silently closed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Physical schema invented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Exact API/RBAC IDs invented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