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07 — D3 Learning Session Downstream Synchronization</w:t>
      </w:r>
    </w:p>
    <w:p>
      <w:pPr>
        <w:jc w:val="center"/>
      </w:pPr>
      <w:r>
        <w:rPr>
          <w:i/>
        </w:rPr>
        <w:t>Version 1.0 | 16 August 2026 | PASS WITH CONTROLLED RESIDUALS</w:t>
      </w:r>
    </w:p>
    <w:p>
      <w:pPr>
        <w:pStyle w:val="Heading1"/>
      </w:pPr>
      <w:r>
        <w:t>1. Scope</w:t>
      </w:r>
    </w:p>
    <w:p>
      <w:r>
        <w:t>ERD → Database Dictionary → Provider Adapter Contract → API → RBAC → PRD → User Flow → Business Rule Traceability.</w:t>
      </w:r>
    </w:p>
    <w:p>
      <w:pPr>
        <w:pStyle w:val="Heading1"/>
      </w:pPr>
      <w:r>
        <w:t>2. Canonical AEP4 state</w:t>
      </w:r>
    </w:p>
    <w:p>
      <w:r>
        <w:t>OD-01…07 and OD-09…17 approved; OD-08 automatic provider failover remains OPEN/DEFERRED.</w:t>
      </w:r>
    </w:p>
    <w:p>
      <w:pPr>
        <w:pStyle w:val="Heading1"/>
      </w:pPr>
      <w:r>
        <w:t>3. Core boundaries</w:t>
      </w:r>
    </w:p>
    <w:p>
      <w:r>
        <w:t>Session ≠ Course Enrollment ≠ EventRegistration; Provider Session ID ≠ semantic Session ID; Participation Evidence ≠ Attendance; Attendance ≠ Completion; Completion ≠ LP/Credential/Title/Award; Recording ≠ outcome authority.</w:t>
      </w:r>
    </w:p>
    <w:p>
      <w:pPr>
        <w:pStyle w:val="Heading1"/>
      </w:pPr>
      <w:r>
        <w:t>4. Cross-domain handoffs</w:t>
      </w:r>
    </w:p>
    <w:p>
      <w:r>
        <w:t>Commercial provides trusted access/entitlement outcome; Learning Session provides qualifying completion handoff; Learning Economy owns LP; Competency/Credential/Awarding remain separate; RBAC owns authorization; Event Calendar remains discovery/presentation context.</w:t>
      </w:r>
    </w:p>
    <w:p>
      <w:pPr>
        <w:pStyle w:val="Heading1"/>
      </w:pPr>
      <w:r>
        <w:t>5. Controlled residuals</w:t>
      </w:r>
    </w:p>
    <w:p>
      <w:r>
        <w:t>OD-08; MADCR-049; MADCR-053/054; attendance formula; capacity; visibility taxonomy; Session↔Event relationship; provider verification; recording policy; exact API/event contracts; physical schema/migration.</w:t>
      </w:r>
    </w:p>
    <w:p>
      <w:pPr>
        <w:pStyle w:val="Heading1"/>
      </w:pPr>
      <w:r>
        <w:t>6. Gate</w:t>
      </w:r>
    </w:p>
    <w:p>
      <w:r>
        <w:t>PASS WITH CONTROLLED RESIDUALS — D3 downstream semantic synchronization complete. No new user Open Decision required.</w:t>
      </w:r>
    </w:p>
    <w:p>
      <w:pPr>
        <w:pStyle w:val="Heading1"/>
      </w:pPr>
      <w:r>
        <w:t>7. Next Step</w:t>
      </w:r>
    </w:p>
    <w:p>
      <w:r>
        <w:t>STEP 08 — D4 Title/Awarding Downstream Synchronization.</w:t>
      </w:r>
    </w:p>
    <w:p>
      <w:pPr>
        <w:pStyle w:val="Heading1"/>
      </w:pPr>
      <w:r>
        <w:t>8. Reconciliation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Session vs Course Enrollment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Session vs EventRegistration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Event Calendar authority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Provider ID vs Session ID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Evidence→Attendance→Completion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Enrollment lifecycle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Provider switching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Commercial ownership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direct LP issuance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Credential/Award bypass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Recording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OD-08 silently closed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MADCR-049 silently closed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MADCR-053/054 resolved by assumption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Physical details invented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