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08 — D4 Title / Awarding Downstream Synchronization</w:t>
      </w:r>
    </w:p>
    <w:p>
      <w:pPr>
        <w:jc w:val="center"/>
      </w:pPr>
      <w:r>
        <w:rPr>
          <w:i/>
        </w:rPr>
        <w:t>Version 1.0 | 16 August 2026 | PASS WITH CONTROLLED OPEN ITEMS</w:t>
      </w:r>
    </w:p>
    <w:p>
      <w:pPr>
        <w:pStyle w:val="Heading1"/>
      </w:pPr>
      <w:r>
        <w:t>1. Scope</w:t>
      </w:r>
    </w:p>
    <w:p>
      <w:r>
        <w:t>ERD → Database Dictionary → API → RBAC/Authorization → PRD → User Flow → Business Rule Traceability.</w:t>
      </w:r>
    </w:p>
    <w:p>
      <w:pPr>
        <w:pStyle w:val="Heading1"/>
      </w:pPr>
      <w:r>
        <w:t>2. Governing decisions</w:t>
      </w:r>
    </w:p>
    <w:p>
      <w:r>
        <w:t>MADCR-036, MADCR-037, MADCR-041, MADCR-046; OD-01 CLOSED; OD-06 CLOSED Option B.</w:t>
      </w:r>
    </w:p>
    <w:p>
      <w:pPr>
        <w:pStyle w:val="Heading1"/>
      </w:pPr>
      <w:r>
        <w:t>3. Canonical chain</w:t>
      </w:r>
    </w:p>
    <w:p>
      <w:r>
        <w:t>Title Identity → Awarding Path Version → Awarding Rule Version → Qualification Evaluation → Award Instance → Lifecycle / Provenance / Presentation.</w:t>
      </w:r>
    </w:p>
    <w:p>
      <w:pPr>
        <w:pStyle w:val="Heading1"/>
      </w:pPr>
      <w:r>
        <w:t>4. Cross-domain boundaries</w:t>
      </w:r>
    </w:p>
    <w:p>
      <w:r>
        <w:t>Learning/assessment/LP/credential/partner outcomes are evidence where permitted; Awarding remains authority. Payment does not directly grant Award. M04 Certificate remains separate.</w:t>
      </w:r>
    </w:p>
    <w:p>
      <w:pPr>
        <w:pStyle w:val="Heading1"/>
      </w:pPr>
      <w:r>
        <w:t>5. Residuals</w:t>
      </w:r>
    </w:p>
    <w:p>
      <w:r>
        <w:t>OD-02 Authority/Scope cardinality; OD-03 lifecycle/appeal storage; OD-04 Rule lineage cardinality; OD-05 temporal semantics; MADCR-049 cross-AEP dependency.</w:t>
      </w:r>
    </w:p>
    <w:p>
      <w:pPr>
        <w:pStyle w:val="Heading1"/>
      </w:pPr>
      <w:r>
        <w:t>6. Gate</w:t>
      </w:r>
    </w:p>
    <w:p>
      <w:r>
        <w:t>PASS WITH CONTROLLED OPEN ITEMS — D4 downstream semantic synchronization complete. No new user Open Decision required.</w:t>
      </w:r>
    </w:p>
    <w:p>
      <w:pPr>
        <w:pStyle w:val="Heading1"/>
      </w:pPr>
      <w:r>
        <w:t>7. Next Step</w:t>
      </w:r>
    </w:p>
    <w:p>
      <w:r>
        <w:t>STEP 09 — D5 Cross-Domain Reconciliation.</w:t>
      </w:r>
    </w:p>
    <w:p>
      <w:pPr>
        <w:pStyle w:val="Heading1"/>
      </w:pPr>
      <w:r>
        <w:t>8. Reconciliation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Title vs Award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Stable Title Identity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Path/Rule separation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Historical provenance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Qualification vs Award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Certificate vs Award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Learning evidence boundary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Commercial authority boundary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Primary/Featured constraints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Appeal restores same Award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Role + Permission + Authority/Scope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OD-06 stale-open corrected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OD-02…05 silently closed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Physical schema invented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Exact permission IDs invented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