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Cross-AEP Consolidation</w:t>
      </w:r>
    </w:p>
    <w:p>
      <w:pPr>
        <w:jc w:val="center"/>
      </w:pPr>
      <w:r>
        <w:rPr>
          <w:b/>
          <w:sz w:val="24"/>
        </w:rPr>
        <w:t>STEP 09 — D5 Cross-Domain Reconciliation</w:t>
      </w:r>
    </w:p>
    <w:p>
      <w:pPr>
        <w:jc w:val="center"/>
      </w:pPr>
      <w:r>
        <w:rPr>
          <w:i/>
        </w:rPr>
        <w:t>Version 1.0 | 16 August 2026 | PASS — NO HARD CROSS-AEP CONTRADICTION</w:t>
      </w:r>
    </w:p>
    <w:p>
      <w:pPr>
        <w:pStyle w:val="Heading1"/>
      </w:pPr>
      <w:r>
        <w:t>1. Purpose</w:t>
      </w:r>
    </w:p>
    <w:p>
      <w:r>
        <w:t>Reconcile AEP1–AEP4 handoff boundaries after downstream semantic synchronization; this is a contradiction/dependency gate, not a physical implementation rewrite.</w:t>
      </w:r>
    </w:p>
    <w:p>
      <w:pPr>
        <w:pStyle w:val="Heading1"/>
      </w:pPr>
      <w:r>
        <w:t>2. Executive Finding</w:t>
      </w:r>
    </w:p>
    <w:p>
      <w:r>
        <w:t>No hard cross-AEP contradiction requiring reopening an approved AEP decision was identified.</w:t>
      </w:r>
    </w:p>
    <w:p>
      <w:pPr>
        <w:pStyle w:val="Heading1"/>
      </w:pPr>
      <w:r>
        <w:t>3. Key Result</w:t>
      </w:r>
    </w:p>
    <w:p>
      <w:r>
        <w:t>Commercial owns payment/entitlement; Learning owns LP; Session owns session lifecycle/evidence evaluation; Awarding owns qualification/Award Instance; RBAC owns authorization; Provider is infrastructure; Event Calendar is integration/presentation context.</w:t>
      </w:r>
    </w:p>
    <w:p>
      <w:pPr>
        <w:pStyle w:val="Heading1"/>
      </w:pPr>
      <w:r>
        <w:t>4. Controlled Deltas</w:t>
      </w:r>
    </w:p>
    <w:p>
      <w:r>
        <w:t>M05 Event vs Learning Session authority; stale OD-06 wording; MADCR-049; MADCR-053/054; AEP4-OD-08; provider research; evidence gaps.</w:t>
      </w:r>
    </w:p>
    <w:p>
      <w:pPr>
        <w:pStyle w:val="Heading1"/>
      </w:pPr>
      <w:r>
        <w:t>5. Gate</w:t>
      </w:r>
    </w:p>
    <w:p>
      <w:r>
        <w:t>PASS — project may proceed to D6 Global Baseline Synchronization &amp; Final Control Gate, with all residuals carried forward.</w:t>
      </w:r>
    </w:p>
    <w:p>
      <w:pPr>
        <w:pStyle w:val="Heading1"/>
      </w:pPr>
      <w:r>
        <w:t>6. Next Step</w:t>
      </w:r>
    </w:p>
    <w:p>
      <w:r>
        <w:t>STEP 10 — D6 Global Baseline Synchronization &amp; Final Control Gate.</w:t>
      </w:r>
    </w:p>
    <w:p>
      <w:pPr>
        <w:pStyle w:val="Heading1"/>
      </w:pPr>
      <w:r>
        <w:t>7. Contradiction 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</w:tr>
      <w:tr>
        <w:tc>
          <w:tcPr>
            <w:tcW w:type="dxa" w:w="2880"/>
          </w:tcPr>
          <w:p>
            <w:r>
              <w:t>Authority ownership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domain takes ownership of another domain's authoritative state.</w:t>
            </w:r>
          </w:p>
        </w:tc>
      </w:tr>
      <w:tr>
        <w:tc>
          <w:tcPr>
            <w:tcW w:type="dxa" w:w="2880"/>
          </w:tcPr>
          <w:p>
            <w:r>
              <w:t>Commercial payment boundary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Payment Core/provider adapter/verification remain Commercial-owned.</w:t>
            </w:r>
          </w:p>
        </w:tc>
      </w:tr>
      <w:tr>
        <w:tc>
          <w:tcPr>
            <w:tcW w:type="dxa" w:w="2880"/>
          </w:tcPr>
          <w:p>
            <w:r>
              <w:t>Learning Economy boundary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LP transaction/provenance remains Learning-owned.</w:t>
            </w:r>
          </w:p>
        </w:tc>
      </w:tr>
      <w:tr>
        <w:tc>
          <w:tcPr>
            <w:tcW w:type="dxa" w:w="2880"/>
          </w:tcPr>
          <w:p>
            <w:r>
              <w:t>Session boundary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Session is distinct from Course Enrollment and EventRegistration.</w:t>
            </w:r>
          </w:p>
        </w:tc>
      </w:tr>
      <w:tr>
        <w:tc>
          <w:tcPr>
            <w:tcW w:type="dxa" w:w="2880"/>
          </w:tcPr>
          <w:p>
            <w:r>
              <w:t>Awarding boundary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Qualification/Award Instance remain Awarding-owned.</w:t>
            </w:r>
          </w:p>
        </w:tc>
      </w:tr>
      <w:tr>
        <w:tc>
          <w:tcPr>
            <w:tcW w:type="dxa" w:w="2880"/>
          </w:tcPr>
          <w:p>
            <w:r>
              <w:t>RBAC boundary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Authorization remains separate from entitlement/qualification.</w:t>
            </w:r>
          </w:p>
        </w:tc>
      </w:tr>
      <w:tr>
        <w:tc>
          <w:tcPr>
            <w:tcW w:type="dxa" w:w="2880"/>
          </w:tcPr>
          <w:p>
            <w:r>
              <w:t>Provider boundary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Provider is infrastructure; normalized evidence precedes evaluation.</w:t>
            </w:r>
          </w:p>
        </w:tc>
      </w:tr>
      <w:tr>
        <w:tc>
          <w:tcPr>
            <w:tcW w:type="dxa" w:w="2880"/>
          </w:tcPr>
          <w:p>
            <w:r>
              <w:t>Historical integrity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Historical commercial/LP/session/award records remain explainable.</w:t>
            </w:r>
          </w:p>
        </w:tc>
      </w:tr>
      <w:tr>
        <w:tc>
          <w:tcPr>
            <w:tcW w:type="dxa" w:w="2880"/>
          </w:tcPr>
          <w:p>
            <w:r>
              <w:t>Stale document handling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Known stale Event/OD-06 wording is classified as controlled delta, not architecture conflict.</w:t>
            </w:r>
          </w:p>
        </w:tc>
      </w:tr>
      <w:tr>
        <w:tc>
          <w:tcPr>
            <w:tcW w:type="dxa" w:w="2880"/>
          </w:tcPr>
          <w:p>
            <w:r>
              <w:t>Open decision hygiene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open item was silently closed.</w:t>
            </w:r>
          </w:p>
        </w:tc>
      </w:tr>
      <w:tr>
        <w:tc>
          <w:tcPr>
            <w:tcW w:type="dxa" w:w="2880"/>
          </w:tcPr>
          <w:p>
            <w:r>
              <w:t>Physical implementation leakage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physical schema/API/RBAC IDs were invented.</w:t>
            </w:r>
          </w:p>
        </w:tc>
      </w:tr>
      <w:tr>
        <w:tc>
          <w:tcPr>
            <w:tcW w:type="dxa" w:w="2880"/>
          </w:tcPr>
          <w:p>
            <w:r>
              <w:t>Cross-AEP contradiction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hard contradiction requiring reopening an approved AEP was identified.</w:t>
            </w:r>
          </w:p>
        </w:tc>
      </w:tr>
    </w:tbl>
    <w:p>
      <w:pPr>
        <w:pStyle w:val="Heading1"/>
      </w:pPr>
      <w:r>
        <w:t>8. Residual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Residual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Treatment</w:t>
            </w:r>
          </w:p>
        </w:tc>
      </w:tr>
      <w:tr>
        <w:tc>
          <w:tcPr>
            <w:tcW w:type="dxa" w:w="1728"/>
          </w:tcPr>
          <w:p>
            <w:r>
              <w:t>R-01</w:t>
            </w:r>
          </w:p>
        </w:tc>
        <w:tc>
          <w:tcPr>
            <w:tcW w:type="dxa" w:w="1728"/>
          </w:tcPr>
          <w:p>
            <w:r>
              <w:t>MADCR-049</w:t>
            </w:r>
          </w:p>
        </w:tc>
        <w:tc>
          <w:tcPr>
            <w:tcW w:type="dxa" w:w="1728"/>
          </w:tcPr>
          <w:p>
            <w:r>
              <w:t>Learning Activity evidence/governance model</w:t>
            </w:r>
          </w:p>
        </w:tc>
        <w:tc>
          <w:tcPr>
            <w:tcW w:type="dxa" w:w="1728"/>
          </w:tcPr>
          <w:p>
            <w:r>
              <w:t>OPEN / RE-EVALUATION</w:t>
            </w:r>
          </w:p>
        </w:tc>
        <w:tc>
          <w:tcPr>
            <w:tcW w:type="dxa" w:w="1728"/>
          </w:tcPr>
          <w:p>
            <w:r>
              <w:t>Affects Session→Learning Activity→LP evidence boundary. Must not be closed by D5.</w:t>
            </w:r>
          </w:p>
        </w:tc>
      </w:tr>
      <w:tr>
        <w:tc>
          <w:tcPr>
            <w:tcW w:type="dxa" w:w="1728"/>
          </w:tcPr>
          <w:p>
            <w:r>
              <w:t>R-02</w:t>
            </w:r>
          </w:p>
        </w:tc>
        <w:tc>
          <w:tcPr>
            <w:tcW w:type="dxa" w:w="1728"/>
          </w:tcPr>
          <w:p>
            <w:r>
              <w:t>MADCR-053</w:t>
            </w:r>
          </w:p>
        </w:tc>
        <w:tc>
          <w:tcPr>
            <w:tcW w:type="dxa" w:w="1728"/>
          </w:tcPr>
          <w:p>
            <w:r>
              <w:t>Cross-domain permission taxonomy</w:t>
            </w:r>
          </w:p>
        </w:tc>
        <w:tc>
          <w:tcPr>
            <w:tcW w:type="dxa" w:w="1728"/>
          </w:tcPr>
          <w:p>
            <w:r>
              <w:t>OPEN / GOVERNANCE DEPENDENCY</w:t>
            </w:r>
          </w:p>
        </w:tc>
        <w:tc>
          <w:tcPr>
            <w:tcW w:type="dxa" w:w="1728"/>
          </w:tcPr>
          <w:p>
            <w:r>
              <w:t>Affects Session Host/actor authorization. Existing permissions are not treated as proof.</w:t>
            </w:r>
          </w:p>
        </w:tc>
      </w:tr>
      <w:tr>
        <w:tc>
          <w:tcPr>
            <w:tcW w:type="dxa" w:w="1728"/>
          </w:tcPr>
          <w:p>
            <w:r>
              <w:t>R-03</w:t>
            </w:r>
          </w:p>
        </w:tc>
        <w:tc>
          <w:tcPr>
            <w:tcW w:type="dxa" w:w="1728"/>
          </w:tcPr>
          <w:p>
            <w:r>
              <w:t>MADCR-054</w:t>
            </w:r>
          </w:p>
        </w:tc>
        <w:tc>
          <w:tcPr>
            <w:tcW w:type="dxa" w:w="1728"/>
          </w:tcPr>
          <w:p>
            <w:r>
              <w:t>Host / Instructor authorization</w:t>
            </w:r>
          </w:p>
        </w:tc>
        <w:tc>
          <w:tcPr>
            <w:tcW w:type="dxa" w:w="1728"/>
          </w:tcPr>
          <w:p>
            <w:r>
              <w:t>OPEN / GOVERNANCE DEPENDENCY</w:t>
            </w:r>
          </w:p>
        </w:tc>
        <w:tc>
          <w:tcPr>
            <w:tcW w:type="dxa" w:w="1728"/>
          </w:tcPr>
          <w:p>
            <w:r>
              <w:t>Do not infer Instructor=Host.</w:t>
            </w:r>
          </w:p>
        </w:tc>
      </w:tr>
      <w:tr>
        <w:tc>
          <w:tcPr>
            <w:tcW w:type="dxa" w:w="1728"/>
          </w:tcPr>
          <w:p>
            <w:r>
              <w:t>R-04</w:t>
            </w:r>
          </w:p>
        </w:tc>
        <w:tc>
          <w:tcPr>
            <w:tcW w:type="dxa" w:w="1728"/>
          </w:tcPr>
          <w:p>
            <w:r>
              <w:t>AEP4-OD-08</w:t>
            </w:r>
          </w:p>
        </w:tc>
        <w:tc>
          <w:tcPr>
            <w:tcW w:type="dxa" w:w="1728"/>
          </w:tcPr>
          <w:p>
            <w:r>
              <w:t>Automatic provider failover</w:t>
            </w:r>
          </w:p>
        </w:tc>
        <w:tc>
          <w:tcPr>
            <w:tcW w:type="dxa" w:w="1728"/>
          </w:tcPr>
          <w:p>
            <w:r>
              <w:t>OPEN / DEFERRED</w:t>
            </w:r>
          </w:p>
        </w:tc>
        <w:tc>
          <w:tcPr>
            <w:tcW w:type="dxa" w:w="1728"/>
          </w:tcPr>
          <w:p>
            <w:r>
              <w:t>Provider switching is approved; automatic failover is not.</w:t>
            </w:r>
          </w:p>
        </w:tc>
      </w:tr>
      <w:tr>
        <w:tc>
          <w:tcPr>
            <w:tcW w:type="dxa" w:w="1728"/>
          </w:tcPr>
          <w:p>
            <w:r>
              <w:t>R-05</w:t>
            </w:r>
          </w:p>
        </w:tc>
        <w:tc>
          <w:tcPr>
            <w:tcW w:type="dxa" w:w="1728"/>
          </w:tcPr>
          <w:p>
            <w:r>
              <w:t>AEP3-OD-02</w:t>
            </w:r>
          </w:p>
        </w:tc>
        <w:tc>
          <w:tcPr>
            <w:tcW w:type="dxa" w:w="1728"/>
          </w:tcPr>
          <w:p>
            <w:r>
              <w:t>Authority/Scope cardinality</w:t>
            </w:r>
          </w:p>
        </w:tc>
        <w:tc>
          <w:tcPr>
            <w:tcW w:type="dxa" w:w="1728"/>
          </w:tcPr>
          <w:p>
            <w:r>
              <w:t>OPEN / CONTROLLED</w:t>
            </w:r>
          </w:p>
        </w:tc>
        <w:tc>
          <w:tcPr>
            <w:tcW w:type="dxa" w:w="1728"/>
          </w:tcPr>
          <w:p>
            <w:r>
              <w:t>Awarding authority relationship cardinality remains downstream.</w:t>
            </w:r>
          </w:p>
        </w:tc>
      </w:tr>
      <w:tr>
        <w:tc>
          <w:tcPr>
            <w:tcW w:type="dxa" w:w="1728"/>
          </w:tcPr>
          <w:p>
            <w:r>
              <w:t>R-06</w:t>
            </w:r>
          </w:p>
        </w:tc>
        <w:tc>
          <w:tcPr>
            <w:tcW w:type="dxa" w:w="1728"/>
          </w:tcPr>
          <w:p>
            <w:r>
              <w:t>AEP3-OD-03</w:t>
            </w:r>
          </w:p>
        </w:tc>
        <w:tc>
          <w:tcPr>
            <w:tcW w:type="dxa" w:w="1728"/>
          </w:tcPr>
          <w:p>
            <w:r>
              <w:t>Lifecycle/Appeal storage mechanism</w:t>
            </w:r>
          </w:p>
        </w:tc>
        <w:tc>
          <w:tcPr>
            <w:tcW w:type="dxa" w:w="1728"/>
          </w:tcPr>
          <w:p>
            <w:r>
              <w:t>OPEN / CONTROLLED</w:t>
            </w:r>
          </w:p>
        </w:tc>
        <w:tc>
          <w:tcPr>
            <w:tcW w:type="dxa" w:w="1728"/>
          </w:tcPr>
          <w:p>
            <w:r>
              <w:t>Do not invent physical storage.</w:t>
            </w:r>
          </w:p>
        </w:tc>
      </w:tr>
      <w:tr>
        <w:tc>
          <w:tcPr>
            <w:tcW w:type="dxa" w:w="1728"/>
          </w:tcPr>
          <w:p>
            <w:r>
              <w:t>R-07</w:t>
            </w:r>
          </w:p>
        </w:tc>
        <w:tc>
          <w:tcPr>
            <w:tcW w:type="dxa" w:w="1728"/>
          </w:tcPr>
          <w:p>
            <w:r>
              <w:t>AEP3-OD-04</w:t>
            </w:r>
          </w:p>
        </w:tc>
        <w:tc>
          <w:tcPr>
            <w:tcW w:type="dxa" w:w="1728"/>
          </w:tcPr>
          <w:p>
            <w:r>
              <w:t>Rule lineage cardinality</w:t>
            </w:r>
          </w:p>
        </w:tc>
        <w:tc>
          <w:tcPr>
            <w:tcW w:type="dxa" w:w="1728"/>
          </w:tcPr>
          <w:p>
            <w:r>
              <w:t>OPEN / CONTROLLED</w:t>
            </w:r>
          </w:p>
        </w:tc>
        <w:tc>
          <w:tcPr>
            <w:tcW w:type="dxa" w:w="1728"/>
          </w:tcPr>
          <w:p>
            <w:r>
              <w:t>Semantic lineage is fixed; physical cardinality remains open.</w:t>
            </w:r>
          </w:p>
        </w:tc>
      </w:tr>
      <w:tr>
        <w:tc>
          <w:tcPr>
            <w:tcW w:type="dxa" w:w="1728"/>
          </w:tcPr>
          <w:p>
            <w:r>
              <w:t>R-08</w:t>
            </w:r>
          </w:p>
        </w:tc>
        <w:tc>
          <w:tcPr>
            <w:tcW w:type="dxa" w:w="1728"/>
          </w:tcPr>
          <w:p>
            <w:r>
              <w:t>AEP3-OD-05</w:t>
            </w:r>
          </w:p>
        </w:tc>
        <w:tc>
          <w:tcPr>
            <w:tcW w:type="dxa" w:w="1728"/>
          </w:tcPr>
          <w:p>
            <w:r>
              <w:t>Rule temporal/effective-date semantics</w:t>
            </w:r>
          </w:p>
        </w:tc>
        <w:tc>
          <w:tcPr>
            <w:tcW w:type="dxa" w:w="1728"/>
          </w:tcPr>
          <w:p>
            <w:r>
              <w:t>OPEN / CONTROLLED</w:t>
            </w:r>
          </w:p>
        </w:tc>
        <w:tc>
          <w:tcPr>
            <w:tcW w:type="dxa" w:w="1728"/>
          </w:tcPr>
          <w:p>
            <w:r>
              <w:t>Do not invent temporal invariants.</w:t>
            </w:r>
          </w:p>
        </w:tc>
      </w:tr>
      <w:tr>
        <w:tc>
          <w:tcPr>
            <w:tcW w:type="dxa" w:w="1728"/>
          </w:tcPr>
          <w:p>
            <w:r>
              <w:t>R-09</w:t>
            </w:r>
          </w:p>
        </w:tc>
        <w:tc>
          <w:tcPr>
            <w:tcW w:type="dxa" w:w="1728"/>
          </w:tcPr>
          <w:p>
            <w:r>
              <w:t>Session↔Event</w:t>
            </w:r>
          </w:p>
        </w:tc>
        <w:tc>
          <w:tcPr>
            <w:tcW w:type="dxa" w:w="1728"/>
          </w:tcPr>
          <w:p>
            <w:r>
              <w:t>Exact cardinality</w:t>
            </w:r>
          </w:p>
        </w:tc>
        <w:tc>
          <w:tcPr>
            <w:tcW w:type="dxa" w:w="1728"/>
          </w:tcPr>
          <w:p>
            <w:r>
              <w:t>OPEN / CONTROLLED</w:t>
            </w:r>
          </w:p>
        </w:tc>
        <w:tc>
          <w:tcPr>
            <w:tcW w:type="dxa" w:w="1728"/>
          </w:tcPr>
          <w:p>
            <w:r>
              <w:t>Event Calendar remains integration/presentation context.</w:t>
            </w:r>
          </w:p>
        </w:tc>
      </w:tr>
      <w:tr>
        <w:tc>
          <w:tcPr>
            <w:tcW w:type="dxa" w:w="1728"/>
          </w:tcPr>
          <w:p>
            <w:r>
              <w:t>R-10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  <w:tc>
          <w:tcPr>
            <w:tcW w:type="dxa" w:w="1728"/>
          </w:tcPr>
          <w:p>
            <w:r>
              <w:t>Formula/exceptions</w:t>
            </w:r>
          </w:p>
        </w:tc>
        <w:tc>
          <w:tcPr>
            <w:tcW w:type="dxa" w:w="1728"/>
          </w:tcPr>
          <w:p>
            <w:r>
              <w:t>OPEN / CONTROLLED</w:t>
            </w:r>
          </w:p>
        </w:tc>
        <w:tc>
          <w:tcPr>
            <w:tcW w:type="dxa" w:w="1728"/>
          </w:tcPr>
          <w:p>
            <w:r>
              <w:t>AEP4 allows configurability; exact values remain downstream.</w:t>
            </w:r>
          </w:p>
        </w:tc>
      </w:tr>
      <w:tr>
        <w:tc>
          <w:tcPr>
            <w:tcW w:type="dxa" w:w="1728"/>
          </w:tcPr>
          <w:p>
            <w:r>
              <w:t>R-11</w:t>
            </w:r>
          </w:p>
        </w:tc>
        <w:tc>
          <w:tcPr>
            <w:tcW w:type="dxa" w:w="1728"/>
          </w:tcPr>
          <w:p>
            <w:r>
              <w:t>Provider verification</w:t>
            </w:r>
          </w:p>
        </w:tc>
        <w:tc>
          <w:tcPr>
            <w:tcW w:type="dxa" w:w="1728"/>
          </w:tcPr>
          <w:p>
            <w:r>
              <w:t>Capability/auth/OAuth/plan/quota/rate/policy</w:t>
            </w:r>
          </w:p>
        </w:tc>
        <w:tc>
          <w:tcPr>
            <w:tcW w:type="dxa" w:w="1728"/>
          </w:tcPr>
          <w:p>
            <w:r>
              <w:t>RESEARCH REQUIRED</w:t>
            </w:r>
          </w:p>
        </w:tc>
        <w:tc>
          <w:tcPr>
            <w:tcW w:type="dxa" w:w="1728"/>
          </w:tcPr>
          <w:p>
            <w:r>
              <w:t>Research evidence is not provider selection.</w:t>
            </w:r>
          </w:p>
        </w:tc>
      </w:tr>
      <w:tr>
        <w:tc>
          <w:tcPr>
            <w:tcW w:type="dxa" w:w="1728"/>
          </w:tcPr>
          <w:p>
            <w:r>
              <w:t>R-12</w:t>
            </w:r>
          </w:p>
        </w:tc>
        <w:tc>
          <w:tcPr>
            <w:tcW w:type="dxa" w:w="1728"/>
          </w:tcPr>
          <w:p>
            <w:r>
              <w:t>MBR-COM-001–013</w:t>
            </w:r>
          </w:p>
        </w:tc>
        <w:tc>
          <w:tcPr>
            <w:tcW w:type="dxa" w:w="1728"/>
          </w:tcPr>
          <w:p>
            <w:r>
              <w:t>Commercial rule evidence/provenance</w:t>
            </w:r>
          </w:p>
        </w:tc>
        <w:tc>
          <w:tcPr>
            <w:tcW w:type="dxa" w:w="1728"/>
          </w:tcPr>
          <w:p>
            <w:r>
              <w:t>EVIDENCE GAP</w:t>
            </w:r>
          </w:p>
        </w:tc>
        <w:tc>
          <w:tcPr>
            <w:tcW w:type="dxa" w:w="1728"/>
          </w:tcPr>
          <w:p>
            <w:r>
              <w:t>No identifiers/content invented.</w:t>
            </w:r>
          </w:p>
        </w:tc>
      </w:tr>
      <w:tr>
        <w:tc>
          <w:tcPr>
            <w:tcW w:type="dxa" w:w="1728"/>
          </w:tcPr>
          <w:p>
            <w:r>
              <w:t>R-13</w:t>
            </w:r>
          </w:p>
        </w:tc>
        <w:tc>
          <w:tcPr>
            <w:tcW w:type="dxa" w:w="1728"/>
          </w:tcPr>
          <w:p>
            <w:r>
              <w:t>OPEN-C01</w:t>
            </w:r>
          </w:p>
        </w:tc>
        <w:tc>
          <w:tcPr>
            <w:tcW w:type="dxa" w:w="1728"/>
          </w:tcPr>
          <w:p>
            <w:r>
              <w:t>AEP-MON-001 ↔ AEP-MON-002 provenance</w:t>
            </w:r>
          </w:p>
        </w:tc>
        <w:tc>
          <w:tcPr>
            <w:tcW w:type="dxa" w:w="1728"/>
          </w:tcPr>
          <w:p>
            <w:r>
              <w:t>OPEN / NON-BLOCKING</w:t>
            </w:r>
          </w:p>
        </w:tc>
        <w:tc>
          <w:tcPr>
            <w:tcW w:type="dxa" w:w="1728"/>
          </w:tcPr>
          <w:p>
            <w:r>
              <w:t>No supersession/hierarchy inferred.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