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10 — D6 Global Baseline Synchronization &amp; Final Control Gate</w:t>
      </w:r>
    </w:p>
    <w:p>
      <w:pPr>
        <w:jc w:val="center"/>
      </w:pPr>
      <w:r>
        <w:rPr>
          <w:i/>
        </w:rPr>
        <w:t>Version 1.0 | 16 August 2026 | PASS — GLOBAL AEP1–AEP4 SEMANTIC BASELINE SYNCHRONIZATION COMPLETE</w:t>
      </w:r>
    </w:p>
    <w:p>
      <w:pPr>
        <w:pStyle w:val="Heading1"/>
      </w:pPr>
      <w:r>
        <w:t>1. Objective</w:t>
      </w:r>
    </w:p>
    <w:p>
      <w:r>
        <w:t>Promote the consolidated AEP1–AEP4 semantic state into the global project baseline while preserving historical versions, stale-document deltas, controlled residuals and implementation holds.</w:t>
      </w:r>
    </w:p>
    <w:p>
      <w:pPr>
        <w:pStyle w:val="Heading1"/>
      </w:pPr>
      <w:r>
        <w:t>2. Global Result</w:t>
      </w:r>
    </w:p>
    <w:p>
      <w:r>
        <w:t>No hard cross-AEP contradiction was found. The four AEPs are coherent at semantic authority/handoff level.</w:t>
      </w:r>
    </w:p>
    <w:p>
      <w:pPr>
        <w:pStyle w:val="Heading1"/>
      </w:pPr>
      <w:r>
        <w:t>3. Baseline Promotion</w:t>
      </w:r>
    </w:p>
    <w:p>
      <w:r>
        <w:t>PROJECT-CONSTITUTION v1.10; SYSTEM-ARCHITECTURE v1.7; project-manifest v1.29; governance register v1.10; CURRENT-PROJECT-STATE rev.11; CHANGELOG v0.7.21 D6 entry. ADR master remains v1.1; no new ADR created.</w:t>
      </w:r>
    </w:p>
    <w:p>
      <w:pPr>
        <w:pStyle w:val="Heading1"/>
      </w:pPr>
      <w:r>
        <w:t>4. Canonical AEP Gates</w:t>
      </w:r>
    </w:p>
    <w:p>
      <w:r>
        <w:t>AEP1 = CONDITIONALLY COMPLETE; AEP2 = PASS WITH CONTROLLED RESIDUALS; AEP3 = SEMANTIC ARCHITECTURE COMPLETE WITH CONTROLLED OPEN ITEMS; AEP4 = PASS WITH CONTROLLED RESIDUALS.</w:t>
      </w:r>
    </w:p>
    <w:p>
      <w:pPr>
        <w:pStyle w:val="Heading1"/>
      </w:pPr>
      <w:r>
        <w:t>5. Implementation Hold</w:t>
      </w:r>
    </w:p>
    <w:p>
      <w:r>
        <w:t>D6 does not authorize physical migration, production provider activation, final unresolved RBAC IDs, automatic provider failover, final MADCR-049 evidence contract, or unresolved AEP3 physical design.</w:t>
      </w:r>
    </w:p>
    <w:p>
      <w:pPr>
        <w:pStyle w:val="Heading1"/>
      </w:pPr>
      <w:r>
        <w:t>6. Final Gate</w:t>
      </w:r>
    </w:p>
    <w:p>
      <w:r>
        <w:t>PASS — GLOBAL AEP1–AEP4 SEMANTIC BASELINE SYNCHRONIZATION COMPLETE.</w:t>
      </w:r>
    </w:p>
    <w:p>
      <w:pPr>
        <w:pStyle w:val="Heading1"/>
      </w:pPr>
      <w:r>
        <w:t>7. Next Phase</w:t>
      </w:r>
    </w:p>
    <w:p>
      <w:r>
        <w:t>Post-AEP Implementation Readiness / Residual Closure &amp; Technical Execution Gate.</w:t>
      </w:r>
    </w:p>
    <w:p>
      <w:pPr>
        <w:pStyle w:val="Heading1"/>
      </w:pPr>
      <w:r>
        <w:t>8. Global Authority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Authority</w:t>
            </w:r>
          </w:p>
        </w:tc>
      </w:tr>
      <w:tr>
        <w:tc>
          <w:tcPr>
            <w:tcW w:type="dxa" w:w="4320"/>
          </w:tcPr>
          <w:p>
            <w:r>
              <w:t>Commercial/Payment</w:t>
            </w:r>
          </w:p>
        </w:tc>
        <w:tc>
          <w:tcPr>
            <w:tcW w:type="dxa" w:w="4320"/>
          </w:tcPr>
          <w:p>
            <w:r>
              <w:t>Payment &amp; Commercial Entitlement</w:t>
            </w:r>
          </w:p>
        </w:tc>
      </w:tr>
      <w:tr>
        <w:tc>
          <w:tcPr>
            <w:tcW w:type="dxa" w:w="4320"/>
          </w:tcPr>
          <w:p>
            <w:r>
              <w:t>Learning Economy</w:t>
            </w:r>
          </w:p>
        </w:tc>
        <w:tc>
          <w:tcPr>
            <w:tcW w:type="dxa" w:w="4320"/>
          </w:tcPr>
          <w:p>
            <w:r>
              <w:t>LP transactions/provenance</w:t>
            </w:r>
          </w:p>
        </w:tc>
      </w:tr>
      <w:tr>
        <w:tc>
          <w:tcPr>
            <w:tcW w:type="dxa" w:w="4320"/>
          </w:tcPr>
          <w:p>
            <w:r>
              <w:t>Learning Session</w:t>
            </w:r>
          </w:p>
        </w:tc>
        <w:tc>
          <w:tcPr>
            <w:tcW w:type="dxa" w:w="4320"/>
          </w:tcPr>
          <w:p>
            <w:r>
              <w:t>Session lifecycle/evidence evaluation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t>Awarding</w:t>
            </w:r>
          </w:p>
        </w:tc>
        <w:tc>
          <w:tcPr>
            <w:tcW w:type="dxa" w:w="4320"/>
          </w:tcPr>
          <w:p>
            <w:r>
              <w:t>Qualification/Award Instance</w:t>
            </w:r>
          </w:p>
        </w:tc>
      </w:tr>
      <w:tr>
        <w:tc>
          <w:tcPr>
            <w:tcW w:type="dxa" w:w="4320"/>
          </w:tcPr>
          <w:p>
            <w:r>
              <w:t>Event Calendar</w:t>
            </w:r>
          </w:p>
        </w:tc>
        <w:tc>
          <w:tcPr>
            <w:tcW w:type="dxa" w:w="4320"/>
          </w:tcPr>
          <w:p>
            <w:r>
              <w:t>Integration/presentation context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Infrastructure/evidence source</w:t>
            </w:r>
          </w:p>
        </w:tc>
      </w:tr>
    </w:tbl>
    <w:p>
      <w:pPr>
        <w:pStyle w:val="Heading1"/>
      </w:pPr>
      <w:r>
        <w:t>9. Controlled Residuals</w:t>
      </w:r>
    </w:p>
    <w:p>
      <w:pPr>
        <w:pStyle w:val="ListBullet"/>
      </w:pPr>
      <w:r>
        <w:t>OPEN-C01</w:t>
      </w:r>
    </w:p>
    <w:p>
      <w:pPr>
        <w:pStyle w:val="ListBullet"/>
      </w:pPr>
      <w:r>
        <w:t>MBR-COM-001–013 evidence gap</w:t>
      </w:r>
    </w:p>
    <w:p>
      <w:pPr>
        <w:pStyle w:val="ListBullet"/>
      </w:pPr>
      <w:r>
        <w:t>MADCR-049</w:t>
      </w:r>
    </w:p>
    <w:p>
      <w:pPr>
        <w:pStyle w:val="ListBullet"/>
      </w:pPr>
      <w:r>
        <w:t>MADCR-053 / MADCR-054</w:t>
      </w:r>
    </w:p>
    <w:p>
      <w:pPr>
        <w:pStyle w:val="ListBullet"/>
      </w:pPr>
      <w:r>
        <w:t>AEP3-OD-02…05</w:t>
      </w:r>
    </w:p>
    <w:p>
      <w:pPr>
        <w:pStyle w:val="ListBullet"/>
      </w:pPr>
      <w:r>
        <w:t>AEP4-OD-08</w:t>
      </w:r>
    </w:p>
    <w:p>
      <w:pPr>
        <w:pStyle w:val="ListBullet"/>
      </w:pPr>
      <w:r>
        <w:t>Session↔Event / Attendance / Capacity / Visibility / Recording residuals</w:t>
      </w:r>
    </w:p>
    <w:p>
      <w:pPr>
        <w:pStyle w:val="ListBullet"/>
      </w:pPr>
      <w:r>
        <w:t>Provider capability verification</w:t>
      </w:r>
    </w:p>
    <w:p>
      <w:r>
        <w:t>No residual is silently closed by D6.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