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ADR-002 — MADCR-002: Payment Provider Adapter / Integration Architecture</w:t>
      </w:r>
    </w:p>
    <w:p>
      <w:pPr>
        <w:jc w:val="center"/>
      </w:pPr>
      <w:r>
        <w:rPr>
          <w:i/>
          <w:sz w:val="22"/>
        </w:rPr>
        <w:t>Architecture Decision Record — ARB-08 Final / Governing Decision</w:t>
      </w:r>
    </w:p>
    <w:p>
      <w:r>
        <w:t>Prepared from the uploaded RUMAHAGEN governance corpus, including the Monetization AEP, the MADCR-011 governing boundary, and the canonical MADCR mapping. This ADR preserves downstream implementation boundaries.</w:t>
      </w:r>
    </w:p>
    <w:p>
      <w:pPr>
        <w:pStyle w:val="Heading1"/>
      </w:pPr>
      <w:r>
        <w:t>1. Document Status</w:t>
      </w:r>
    </w:p>
    <w:p>
      <w:pPr>
        <w:spacing w:after="80"/>
      </w:pPr>
      <w:r>
        <w:rPr>
          <w:b/>
        </w:rPr>
        <w:t xml:space="preserve">• </w:t>
      </w:r>
      <w:r>
        <w:t>MADCR: MADCR-002</w:t>
      </w:r>
    </w:p>
    <w:p>
      <w:pPr>
        <w:spacing w:after="80"/>
      </w:pPr>
      <w:r>
        <w:rPr>
          <w:b/>
        </w:rPr>
        <w:t xml:space="preserve">• </w:t>
      </w:r>
      <w:r>
        <w:t>ARB: ARB-08</w:t>
      </w:r>
    </w:p>
    <w:p>
      <w:pPr>
        <w:spacing w:after="80"/>
      </w:pPr>
      <w:r>
        <w:rPr>
          <w:b/>
        </w:rPr>
        <w:t xml:space="preserve">• </w:t>
      </w:r>
      <w:r>
        <w:t>Status: APPROVED / GOVERNING DECISION</w:t>
      </w:r>
    </w:p>
    <w:p>
      <w:pPr>
        <w:spacing w:after="80"/>
      </w:pPr>
      <w:r>
        <w:rPr>
          <w:b/>
        </w:rPr>
        <w:t xml:space="preserve">• </w:t>
      </w:r>
      <w:r>
        <w:t>Decision Type: Confirmation-style architecture decision</w:t>
      </w:r>
    </w:p>
    <w:p>
      <w:pPr>
        <w:spacing w:after="80"/>
      </w:pPr>
      <w:r>
        <w:rPr>
          <w:b/>
        </w:rPr>
        <w:t xml:space="preserve">• </w:t>
      </w:r>
      <w:r>
        <w:t>Decision Scope: Payment Gateway provider adapter / integration architecture within the approved M14 Payment Subdomain</w:t>
      </w:r>
    </w:p>
    <w:p>
      <w:pPr>
        <w:pStyle w:val="Heading1"/>
      </w:pPr>
      <w:r>
        <w:t>2. Decision Statement</w:t>
      </w:r>
    </w:p>
    <w:p>
      <w:r>
        <w:t>The Architecture Review Board APPROVES the Provider Adapter Architecture as the governing architecture for Payment Gateway integrations within the M14 Payment Subdomain.</w:t>
      </w:r>
    </w:p>
    <w:p>
      <w:r>
        <w:t>Payment Core SHALL remain provider-independent, and provider-specific integration SHALL be isolated behind a Provider Adapter Boundary.</w:t>
      </w:r>
    </w:p>
    <w:p>
      <w:pPr>
        <w:pStyle w:val="Heading1"/>
      </w:pPr>
      <w:r>
        <w:t>3. Governing Architectural Boundary</w:t>
      </w:r>
    </w:p>
    <w:p>
      <w:pPr>
        <w:spacing w:after="80"/>
      </w:pPr>
      <w:r>
        <w:rPr>
          <w:b/>
        </w:rPr>
        <w:t xml:space="preserve">• </w:t>
      </w:r>
      <w:r>
        <w:t>Payment remains within M14 Commercial / Payment Subdomain, as established by MADCR-011.</w:t>
      </w:r>
    </w:p>
    <w:p>
      <w:pPr>
        <w:spacing w:after="80"/>
      </w:pPr>
      <w:r>
        <w:rPr>
          <w:b/>
        </w:rPr>
        <w:t xml:space="preserve">• </w:t>
      </w:r>
      <w:r>
        <w:t>Payment Core is the provider-independent internal payment capability boundary.</w:t>
      </w:r>
    </w:p>
    <w:p>
      <w:pPr>
        <w:spacing w:after="80"/>
      </w:pPr>
      <w:r>
        <w:rPr>
          <w:b/>
        </w:rPr>
        <w:t xml:space="preserve">• </w:t>
      </w:r>
      <w:r>
        <w:t>Provider-specific integration is placed behind the Provider Adapter Boundary.</w:t>
      </w:r>
    </w:p>
    <w:p>
      <w:pPr>
        <w:spacing w:after="80"/>
      </w:pPr>
      <w:r>
        <w:rPr>
          <w:b/>
        </w:rPr>
        <w:t xml:space="preserve">• </w:t>
      </w:r>
      <w:r>
        <w:t>The architecture SHALL permit provider replacement without fundamental coupling of Payment Core to a single provider.</w:t>
      </w:r>
    </w:p>
    <w:p>
      <w:pPr>
        <w:spacing w:after="80"/>
      </w:pPr>
      <w:r>
        <w:rPr>
          <w:b/>
        </w:rPr>
        <w:t xml:space="preserve">• </w:t>
      </w:r>
      <w:r>
        <w:t>This decision formalizes the provider-adapter direction already identified by ADR-MON-004 in the Monetization AEP.</w:t>
      </w:r>
    </w:p>
    <w:p>
      <w:pPr>
        <w:pStyle w:val="Heading1"/>
      </w:pPr>
      <w:r>
        <w:t>4. Evidence Basis</w:t>
      </w:r>
    </w:p>
    <w:p>
      <w:pPr>
        <w:spacing w:after="80"/>
      </w:pPr>
      <w:r>
        <w:rPr>
          <w:b/>
        </w:rPr>
        <w:t xml:space="preserve">• </w:t>
      </w:r>
      <w:r>
        <w:t>AEP Monetization / Subscription / Promotion / Payment Gateway v1.0 identifies ADR-MON-004: Use provider adapters for Payment Gateway integrations.</w:t>
      </w:r>
    </w:p>
    <w:p>
      <w:pPr>
        <w:spacing w:after="80"/>
      </w:pPr>
      <w:r>
        <w:rPr>
          <w:b/>
        </w:rPr>
        <w:t xml:space="preserve">• </w:t>
      </w:r>
      <w:r>
        <w:t>The same AEP states the Payment provider must be replaceable through an adapter boundary.</w:t>
      </w:r>
    </w:p>
    <w:p>
      <w:pPr>
        <w:spacing w:after="80"/>
      </w:pPr>
      <w:r>
        <w:rPr>
          <w:b/>
        </w:rPr>
        <w:t xml:space="preserve">• </w:t>
      </w:r>
      <w:r>
        <w:t>The AEP's conceptual Payment direction is Commercial Domain → Order → Payment Core → Provider Adapter(s) → Verified Payment → Fulfillment → Entitlement → Quota / Product Access.</w:t>
      </w:r>
    </w:p>
    <w:p>
      <w:pPr>
        <w:spacing w:after="80"/>
      </w:pPr>
      <w:r>
        <w:rPr>
          <w:b/>
        </w:rPr>
        <w:t xml:space="preserve">• </w:t>
      </w:r>
      <w:r>
        <w:t>CAIA-ADR-012 is treated only for its adapter/integration portion for MADCR-002; its verification/idempotency portion is separated for MADCR-003.</w:t>
      </w:r>
    </w:p>
    <w:p>
      <w:pPr>
        <w:spacing w:after="80"/>
      </w:pPr>
      <w:r>
        <w:rPr>
          <w:b/>
        </w:rPr>
        <w:t xml:space="preserve">• </w:t>
      </w:r>
      <w:r>
        <w:t>MADCR-011 is the governing prerequisite establishing Payment as a subdomain within M14 Commercial.</w:t>
      </w:r>
    </w:p>
    <w:p>
      <w:pPr>
        <w:pStyle w:val="Heading1"/>
      </w:pPr>
      <w:r>
        <w:t>5. Relationship to Other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Boundary</w:t>
            </w:r>
          </w:p>
        </w:tc>
      </w:tr>
      <w:tr>
        <w:tc>
          <w:tcPr>
            <w:tcW w:type="dxa" w:w="2880"/>
            <w:vAlign w:val="top"/>
          </w:tcPr>
          <w:p>
            <w:r>
              <w:t>MADCR-011</w:t>
            </w:r>
          </w:p>
        </w:tc>
        <w:tc>
          <w:tcPr>
            <w:tcW w:type="dxa" w:w="2880"/>
            <w:vAlign w:val="top"/>
          </w:tcPr>
          <w:p>
            <w:r>
              <w:t>Prerequisite / Governing</w:t>
            </w:r>
          </w:p>
        </w:tc>
        <w:tc>
          <w:tcPr>
            <w:tcW w:type="dxa" w:w="2880"/>
            <w:vAlign w:val="top"/>
          </w:tcPr>
          <w:p>
            <w:r>
              <w:t>Payment placement = M14 Commercial Payment Subdomain</w:t>
            </w:r>
          </w:p>
        </w:tc>
      </w:tr>
      <w:tr>
        <w:tc>
          <w:tcPr>
            <w:tcW w:type="dxa" w:w="2880"/>
            <w:vAlign w:val="top"/>
          </w:tcPr>
          <w:p>
            <w:r>
              <w:t>MADCR-003</w:t>
            </w:r>
          </w:p>
        </w:tc>
        <w:tc>
          <w:tcPr>
            <w:tcW w:type="dxa" w:w="2880"/>
            <w:vAlign w:val="top"/>
          </w:tcPr>
          <w:p>
            <w:r>
              <w:t>Downstream</w:t>
            </w:r>
          </w:p>
        </w:tc>
        <w:tc>
          <w:tcPr>
            <w:tcW w:type="dxa" w:w="2880"/>
            <w:vAlign w:val="top"/>
          </w:tcPr>
          <w:p>
            <w:r>
              <w:t>Verification / idempotency architecture</w:t>
            </w:r>
          </w:p>
        </w:tc>
      </w:tr>
      <w:tr>
        <w:tc>
          <w:tcPr>
            <w:tcW w:type="dxa" w:w="2880"/>
            <w:vAlign w:val="top"/>
          </w:tcPr>
          <w:p>
            <w:r>
              <w:t>MADCR-005</w:t>
            </w:r>
          </w:p>
        </w:tc>
        <w:tc>
          <w:tcPr>
            <w:tcW w:type="dxa" w:w="2880"/>
            <w:vAlign w:val="top"/>
          </w:tcPr>
          <w:p>
            <w:r>
              <w:t>Downstream</w:t>
            </w:r>
          </w:p>
        </w:tc>
        <w:tc>
          <w:tcPr>
            <w:tcW w:type="dxa" w:w="2880"/>
            <w:vAlign w:val="top"/>
          </w:tcPr>
          <w:p>
            <w:r>
              <w:t>Payment reconciliation capability</w:t>
            </w:r>
          </w:p>
        </w:tc>
      </w:tr>
      <w:tr>
        <w:tc>
          <w:tcPr>
            <w:tcW w:type="dxa" w:w="2880"/>
            <w:vAlign w:val="top"/>
          </w:tcPr>
          <w:p>
            <w:r>
              <w:t>MADCR-058</w:t>
            </w:r>
          </w:p>
        </w:tc>
        <w:tc>
          <w:tcPr>
            <w:tcW w:type="dxa" w:w="2880"/>
            <w:vAlign w:val="top"/>
          </w:tcPr>
          <w:p>
            <w:r>
              <w:t>Separate research / selection</w:t>
            </w:r>
          </w:p>
        </w:tc>
        <w:tc>
          <w:tcPr>
            <w:tcW w:type="dxa" w:w="2880"/>
            <w:vAlign w:val="top"/>
          </w:tcPr>
          <w:p>
            <w:r>
              <w:t>Payment Gateway vendor selection</w:t>
            </w:r>
          </w:p>
        </w:tc>
      </w:tr>
      <w:tr>
        <w:tc>
          <w:tcPr>
            <w:tcW w:type="dxa" w:w="2880"/>
            <w:vAlign w:val="top"/>
          </w:tcPr>
          <w:p>
            <w:r>
              <w:t>MADCR-010</w:t>
            </w:r>
          </w:p>
        </w:tc>
        <w:tc>
          <w:tcPr>
            <w:tcW w:type="dxa" w:w="2880"/>
            <w:vAlign w:val="top"/>
          </w:tcPr>
          <w:p>
            <w:r>
              <w:t>Compatible / Governing</w:t>
            </w:r>
          </w:p>
        </w:tc>
        <w:tc>
          <w:tcPr>
            <w:tcW w:type="dxa" w:w="2880"/>
            <w:vAlign w:val="top"/>
          </w:tcPr>
          <w:p>
            <w:r>
              <w:t>Commercial Entitlement remains authoritative for quota capacity</w:t>
            </w:r>
          </w:p>
        </w:tc>
      </w:tr>
    </w:tbl>
    <w:p>
      <w:pPr>
        <w:pStyle w:val="Heading1"/>
      </w:pPr>
      <w:r>
        <w:t>6. In Scope</w:t>
      </w:r>
    </w:p>
    <w:p>
      <w:pPr>
        <w:spacing w:after="80"/>
      </w:pPr>
      <w:r>
        <w:rPr>
          <w:b/>
        </w:rPr>
        <w:t xml:space="preserve">• </w:t>
      </w:r>
      <w:r>
        <w:t>Provider Adapter Boundary.</w:t>
      </w:r>
    </w:p>
    <w:p>
      <w:pPr>
        <w:spacing w:after="80"/>
      </w:pPr>
      <w:r>
        <w:rPr>
          <w:b/>
        </w:rPr>
        <w:t xml:space="preserve">• </w:t>
      </w:r>
      <w:r>
        <w:t>Payment Core to provider-adapter architectural relationship.</w:t>
      </w:r>
    </w:p>
    <w:p>
      <w:pPr>
        <w:spacing w:after="80"/>
      </w:pPr>
      <w:r>
        <w:rPr>
          <w:b/>
        </w:rPr>
        <w:t xml:space="preserve">• </w:t>
      </w:r>
      <w:r>
        <w:t>Provider independence and replaceability.</w:t>
      </w:r>
    </w:p>
    <w:p>
      <w:pPr>
        <w:spacing w:after="80"/>
      </w:pPr>
      <w:r>
        <w:rPr>
          <w:b/>
        </w:rPr>
        <w:t xml:space="preserve">• </w:t>
      </w:r>
      <w:r>
        <w:t>Isolation of provider-specific integration logic from core Payment/Commercial logic.</w:t>
      </w:r>
    </w:p>
    <w:p>
      <w:pPr>
        <w:spacing w:after="80"/>
      </w:pPr>
      <w:r>
        <w:rPr>
          <w:b/>
        </w:rPr>
        <w:t xml:space="preserve">• </w:t>
      </w:r>
      <w:r>
        <w:t>Architectural constraint that downstream provider integrations conform to the approved adapter boundary.</w:t>
      </w:r>
    </w:p>
    <w:p>
      <w:pPr>
        <w:pStyle w:val="Heading1"/>
      </w:pPr>
      <w:r>
        <w:t>7. Explicit Non-Goals / Not Authorized by this ADR</w:t>
      </w:r>
    </w:p>
    <w:p>
      <w:pPr>
        <w:spacing w:after="80"/>
      </w:pPr>
      <w:r>
        <w:rPr>
          <w:b/>
        </w:rPr>
        <w:t xml:space="preserve">• </w:t>
      </w:r>
      <w:r>
        <w:t>Payment Gateway vendor/provider selection.</w:t>
      </w:r>
    </w:p>
    <w:p>
      <w:pPr>
        <w:spacing w:after="80"/>
      </w:pPr>
      <w:r>
        <w:rPr>
          <w:b/>
        </w:rPr>
        <w:t xml:space="preserve">• </w:t>
      </w:r>
      <w:r>
        <w:t>Verification or idempotency mechanics.</w:t>
      </w:r>
    </w:p>
    <w:p>
      <w:pPr>
        <w:spacing w:after="80"/>
      </w:pPr>
      <w:r>
        <w:rPr>
          <w:b/>
        </w:rPr>
        <w:t xml:space="preserve">• </w:t>
      </w:r>
      <w:r>
        <w:t>Webhook implementation details.</w:t>
      </w:r>
    </w:p>
    <w:p>
      <w:pPr>
        <w:spacing w:after="80"/>
      </w:pPr>
      <w:r>
        <w:rPr>
          <w:b/>
        </w:rPr>
        <w:t xml:space="preserve">• </w:t>
      </w:r>
      <w:r>
        <w:t>Payment reconciliation mechanics.</w:t>
      </w:r>
    </w:p>
    <w:p>
      <w:pPr>
        <w:spacing w:after="80"/>
      </w:pPr>
      <w:r>
        <w:rPr>
          <w:b/>
        </w:rPr>
        <w:t xml:space="preserve">• </w:t>
      </w:r>
      <w:r>
        <w:t>Refund or chargeback mechanics.</w:t>
      </w:r>
    </w:p>
    <w:p>
      <w:pPr>
        <w:spacing w:after="80"/>
      </w:pPr>
      <w:r>
        <w:rPr>
          <w:b/>
        </w:rPr>
        <w:t xml:space="preserve">• </w:t>
      </w:r>
      <w:r>
        <w:t>Physical ERD or database schema.</w:t>
      </w:r>
    </w:p>
    <w:p>
      <w:pPr>
        <w:spacing w:after="80"/>
      </w:pPr>
      <w:r>
        <w:rPr>
          <w:b/>
        </w:rPr>
        <w:t xml:space="preserve">• </w:t>
      </w:r>
      <w:r>
        <w:t>API endpoint or contract design.</w:t>
      </w:r>
    </w:p>
    <w:p>
      <w:pPr>
        <w:spacing w:after="80"/>
      </w:pPr>
      <w:r>
        <w:rPr>
          <w:b/>
        </w:rPr>
        <w:t xml:space="preserve">• </w:t>
      </w:r>
      <w:r>
        <w:t>RBAC/RLS implementation.</w:t>
      </w:r>
    </w:p>
    <w:p>
      <w:pPr>
        <w:spacing w:after="80"/>
      </w:pPr>
      <w:r>
        <w:rPr>
          <w:b/>
        </w:rPr>
        <w:t xml:space="preserve">• </w:t>
      </w:r>
      <w:r>
        <w:t>Migration or database execution.</w:t>
      </w:r>
    </w:p>
    <w:p>
      <w:pPr>
        <w:spacing w:after="80"/>
      </w:pPr>
      <w:r>
        <w:rPr>
          <w:b/>
        </w:rPr>
        <w:t xml:space="preserve">• </w:t>
      </w:r>
      <w:r>
        <w:t>Deployment or microservice boundary.</w:t>
      </w:r>
    </w:p>
    <w:p>
      <w:pPr>
        <w:spacing w:after="80"/>
      </w:pPr>
      <w:r>
        <w:rPr>
          <w:b/>
        </w:rPr>
        <w:t xml:space="preserve">• </w:t>
      </w:r>
      <w:r>
        <w:t>UI or application implementation.</w:t>
      </w:r>
    </w:p>
    <w:p>
      <w:pPr>
        <w:pStyle w:val="Heading1"/>
      </w:pPr>
      <w:r>
        <w:t>8. OPEN-C01 Disclosure</w:t>
      </w:r>
    </w:p>
    <w:p>
      <w:pPr>
        <w:spacing w:after="80"/>
      </w:pPr>
      <w:r>
        <w:rPr>
          <w:b/>
        </w:rPr>
        <w:t xml:space="preserve">• </w:t>
      </w:r>
      <w:r>
        <w:t>The relationship between AEP-MON-001 and AEP-MON-002 remains an unresolved governance/document-relationship issue.</w:t>
      </w:r>
    </w:p>
    <w:p>
      <w:pPr>
        <w:spacing w:after="80"/>
      </w:pPr>
      <w:r>
        <w:rPr>
          <w:b/>
        </w:rPr>
        <w:t xml:space="preserve">• </w:t>
      </w:r>
      <w:r>
        <w:t>MADCR-002 does not resolve supersession, hierarchy, or formal precedence between those AEP documents.</w:t>
      </w:r>
    </w:p>
    <w:p>
      <w:pPr>
        <w:spacing w:after="80"/>
      </w:pPr>
      <w:r>
        <w:rPr>
          <w:b/>
        </w:rPr>
        <w:t xml:space="preserve">• </w:t>
      </w:r>
      <w:r>
        <w:t>OPEN-C01 does not invalidate the provider-adapter decision recorded here.</w:t>
      </w:r>
    </w:p>
    <w:p>
      <w:pPr>
        <w:pStyle w:val="Heading1"/>
      </w:pPr>
      <w:r>
        <w:t>9. Downstream Impact</w:t>
      </w:r>
    </w:p>
    <w:p>
      <w:pPr>
        <w:spacing w:after="80"/>
      </w:pPr>
      <w:r>
        <w:rPr>
          <w:b/>
        </w:rPr>
        <w:t xml:space="preserve">• </w:t>
      </w:r>
      <w:r>
        <w:t>MADCR-003 may now proceed within the approved M14 Payment and provider-adapter boundaries.</w:t>
      </w:r>
    </w:p>
    <w:p>
      <w:pPr>
        <w:spacing w:after="80"/>
      </w:pPr>
      <w:r>
        <w:rPr>
          <w:b/>
        </w:rPr>
        <w:t xml:space="preserve">• </w:t>
      </w:r>
      <w:r>
        <w:t>MADCR-005 may consume the approved Payment integration boundary for reconciliation architecture.</w:t>
      </w:r>
    </w:p>
    <w:p>
      <w:pPr>
        <w:spacing w:after="80"/>
      </w:pPr>
      <w:r>
        <w:rPr>
          <w:b/>
        </w:rPr>
        <w:t xml:space="preserve">• </w:t>
      </w:r>
      <w:r>
        <w:t>MADCR-058 remains free to evaluate/select providers, but any selected provider must integrate through the approved adapter boundary.</w:t>
      </w:r>
    </w:p>
    <w:p>
      <w:pPr>
        <w:spacing w:after="80"/>
      </w:pPr>
      <w:r>
        <w:rPr>
          <w:b/>
        </w:rPr>
        <w:t xml:space="preserve">• </w:t>
      </w:r>
      <w:r>
        <w:t>Downstream Commercial Domain Model, ERD, Payment Integration Contract, API, RBAC/Permission Matrix, User Flow, PRD, Engineering Guidebook and traceability artifacts must remain consistent with this ADR.</w:t>
      </w:r>
    </w:p>
    <w:p>
      <w:pPr>
        <w:spacing w:after="80"/>
      </w:pPr>
      <w:r>
        <w:rPr>
          <w:b/>
        </w:rPr>
        <w:t xml:space="preserve">• </w:t>
      </w:r>
      <w:r>
        <w:t>A downstream proposal that directly couples Payment Core to a specific provider would conflict with this governing decision and must return to governance for reconciliation.</w:t>
      </w:r>
    </w:p>
    <w:p>
      <w:pPr>
        <w:pStyle w:val="Heading1"/>
      </w:pPr>
      <w:r>
        <w:t>10. Governance Rules</w:t>
      </w:r>
    </w:p>
    <w:p>
      <w:pPr>
        <w:spacing w:after="80"/>
      </w:pPr>
      <w:r>
        <w:rPr>
          <w:b/>
        </w:rPr>
        <w:t xml:space="preserve">• </w:t>
      </w:r>
      <w:r>
        <w:t>Approval of MADCR-002 does not reopen MADCR-011 or any other approved architecture decision.</w:t>
      </w:r>
    </w:p>
    <w:p>
      <w:pPr>
        <w:spacing w:after="80"/>
      </w:pPr>
      <w:r>
        <w:rPr>
          <w:b/>
        </w:rPr>
        <w:t xml:space="preserve">• </w:t>
      </w:r>
      <w:r>
        <w:t>Architecture approval is limited to the explicit adapter/integration boundary.</w:t>
      </w:r>
    </w:p>
    <w:p>
      <w:pPr>
        <w:spacing w:after="80"/>
      </w:pPr>
      <w:r>
        <w:rPr>
          <w:b/>
        </w:rPr>
        <w:t xml:space="preserve">• </w:t>
      </w:r>
      <w:r>
        <w:t>Evidence gaps or future provider-specific requirements must not be filled by silently changing this ADR.</w:t>
      </w:r>
    </w:p>
    <w:p>
      <w:pPr>
        <w:spacing w:after="80"/>
      </w:pPr>
      <w:r>
        <w:rPr>
          <w:b/>
        </w:rPr>
        <w:t xml:space="preserve">• </w:t>
      </w:r>
      <w:r>
        <w:t>Implementation remains downstream of the approved architecture decision.</w:t>
      </w:r>
    </w:p>
    <w:p>
      <w:pPr>
        <w:pStyle w:val="Heading1"/>
      </w:pPr>
      <w:r>
        <w:t>11. Approval Record</w:t>
      </w:r>
    </w:p>
    <w:p>
      <w:pPr>
        <w:spacing w:after="80"/>
      </w:pPr>
      <w:r>
        <w:rPr>
          <w:b/>
        </w:rPr>
        <w:t xml:space="preserve">• </w:t>
      </w:r>
      <w:r>
        <w:t>ARB-08 formal approval: APPROVED by the user.</w:t>
      </w:r>
    </w:p>
    <w:p>
      <w:pPr>
        <w:spacing w:after="80"/>
      </w:pPr>
      <w:r>
        <w:rPr>
          <w:b/>
        </w:rPr>
        <w:t xml:space="preserve">• </w:t>
      </w:r>
      <w:r>
        <w:t>MADCR-002 is now APPROVED / GOVERNING.</w:t>
      </w:r>
    </w:p>
    <w:p>
      <w:pPr>
        <w:spacing w:after="80"/>
      </w:pPr>
      <w:r>
        <w:rPr>
          <w:b/>
        </w:rPr>
        <w:t xml:space="preserve">• </w:t>
      </w:r>
      <w:r>
        <w:t>Decision is confirmation-style because the source corpus supplies the architecture direction through ADR-MON-004/AEP rather than a formal A-vs-B alternative set.</w:t>
      </w:r>
    </w:p>
    <w:p>
      <w:pPr>
        <w:spacing w:after="80"/>
      </w:pPr>
      <w:r>
        <w:rPr>
          <w:b/>
        </w:rPr>
        <w:t xml:space="preserve">• </w:t>
      </w:r>
      <w:r>
        <w:t>Implementation authorization: NOT GRANTED by this ADR.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