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ADR-003 — MADCR-003: Payment Verification &amp; Idempotent Fulfillment</w:t>
      </w:r>
    </w:p>
    <w:p>
      <w:pPr>
        <w:jc w:val="center"/>
      </w:pPr>
      <w:r>
        <w:rPr>
          <w:i/>
          <w:sz w:val="22"/>
        </w:rPr>
        <w:t>Architecture Decision Record — ARB-09 Final / Governing Decision</w:t>
      </w:r>
    </w:p>
    <w:p>
      <w:r>
        <w:t>This ADR formalizes the approved MADCR-003 decision while preserving all downstream implementation boundaries.</w:t>
      </w:r>
    </w:p>
    <w:p>
      <w:pPr>
        <w:pStyle w:val="Heading1"/>
      </w:pPr>
      <w:r>
        <w:t>1. Document Status</w:t>
      </w:r>
    </w:p>
    <w:p>
      <w:pPr>
        <w:spacing w:after="80"/>
      </w:pPr>
      <w:r>
        <w:rPr>
          <w:b/>
        </w:rPr>
        <w:t xml:space="preserve">• </w:t>
      </w:r>
      <w:r>
        <w:t>MADCR: MADCR-003</w:t>
      </w:r>
    </w:p>
    <w:p>
      <w:pPr>
        <w:spacing w:after="80"/>
      </w:pPr>
      <w:r>
        <w:rPr>
          <w:b/>
        </w:rPr>
        <w:t xml:space="preserve">• </w:t>
      </w:r>
      <w:r>
        <w:t>ARB: ARB-09</w:t>
      </w:r>
    </w:p>
    <w:p>
      <w:pPr>
        <w:spacing w:after="80"/>
      </w:pPr>
      <w:r>
        <w:rPr>
          <w:b/>
        </w:rPr>
        <w:t xml:space="preserve">• </w:t>
      </w:r>
      <w:r>
        <w:t>Status: APPROVED / GOVERNING DECISION</w:t>
      </w:r>
    </w:p>
    <w:p>
      <w:pPr>
        <w:spacing w:after="80"/>
      </w:pPr>
      <w:r>
        <w:rPr>
          <w:b/>
        </w:rPr>
        <w:t xml:space="preserve">• </w:t>
      </w:r>
      <w:r>
        <w:t>Decision Type: Confirmation-style architecture decision</w:t>
      </w:r>
    </w:p>
    <w:p>
      <w:pPr>
        <w:spacing w:after="80"/>
      </w:pPr>
      <w:r>
        <w:rPr>
          <w:b/>
        </w:rPr>
        <w:t xml:space="preserve">• </w:t>
      </w:r>
      <w:r>
        <w:t>Scope: Payment verification, idempotency, and fulfillment integrity</w:t>
      </w:r>
    </w:p>
    <w:p>
      <w:pPr>
        <w:pStyle w:val="Heading1"/>
      </w:pPr>
      <w:r>
        <w:t>2. Decision Statement</w:t>
      </w:r>
    </w:p>
    <w:p>
      <w:r>
        <w:t>Payment fulfillment SHALL require verified payment confirmation and idempotent processing.</w:t>
      </w:r>
    </w:p>
    <w:p>
      <w:r>
        <w:t>Webhook/provider callbacks SHALL NOT, by themselves, constitute sufficient evidence of successful payment for commercial fulfillment.</w:t>
      </w:r>
    </w:p>
    <w:p>
      <w:r>
        <w:t>Retry or duplicate provider events SHALL NOT produce duplicate subscription, add-on, quota, or other commercial fulfillment outcomes.</w:t>
      </w:r>
    </w:p>
    <w:p>
      <w:pPr>
        <w:pStyle w:val="Heading1"/>
      </w:pPr>
      <w:r>
        <w:t>3. Governing Flow</w:t>
      </w:r>
    </w:p>
    <w:p>
      <w:pPr>
        <w:spacing w:after="80"/>
      </w:pPr>
      <w:r>
        <w:rPr>
          <w:b/>
        </w:rPr>
        <w:t xml:space="preserve">• </w:t>
      </w:r>
      <w:r>
        <w:t>Provider Adapter → Provider Callback / Payment Result → Verification → Idempotency Check → Payment Confirmed → Commercial Fulfillment → Entitlement / Subscription / Quota.</w:t>
      </w:r>
    </w:p>
    <w:p>
      <w:pPr>
        <w:spacing w:after="80"/>
      </w:pPr>
      <w:r>
        <w:rPr>
          <w:b/>
        </w:rPr>
        <w:t xml:space="preserve">• </w:t>
      </w:r>
      <w:r>
        <w:t>The governing architecture establishes a trust boundary before commercial state mutation.</w:t>
      </w:r>
    </w:p>
    <w:p>
      <w:pPr>
        <w:pStyle w:val="Heading1"/>
      </w:pPr>
      <w:r>
        <w:t>4. Evidence Basis</w:t>
      </w:r>
    </w:p>
    <w:p>
      <w:pPr>
        <w:spacing w:after="80"/>
      </w:pPr>
      <w:r>
        <w:rPr>
          <w:b/>
        </w:rPr>
        <w:t xml:space="preserve">• </w:t>
      </w:r>
      <w:r>
        <w:t>AEP Monetization identifies ADR-MON-005: Require verified, idempotent payment fulfillment.</w:t>
      </w:r>
    </w:p>
    <w:p>
      <w:pPr>
        <w:spacing w:after="80"/>
      </w:pPr>
      <w:r>
        <w:rPr>
          <w:b/>
        </w:rPr>
        <w:t xml:space="preserve">• </w:t>
      </w:r>
      <w:r>
        <w:t>The AEP states that webhook receipt alone is not sufficient evidence of payment success without provider verification.</w:t>
      </w:r>
    </w:p>
    <w:p>
      <w:pPr>
        <w:spacing w:after="80"/>
      </w:pPr>
      <w:r>
        <w:rPr>
          <w:b/>
        </w:rPr>
        <w:t xml:space="preserve">• </w:t>
      </w:r>
      <w:r>
        <w:t>The AEP requires payment callbacks and retries to be idempotent and requires unique provider transaction/reference handling and an idempotency mechanism.</w:t>
      </w:r>
    </w:p>
    <w:p>
      <w:pPr>
        <w:spacing w:after="80"/>
      </w:pPr>
      <w:r>
        <w:rPr>
          <w:b/>
        </w:rPr>
        <w:t xml:space="preserve">• </w:t>
      </w:r>
      <w:r>
        <w:t>The AEP states that one provider event must not create duplicate subscription, add-on, quota, or commercial fulfillment.</w:t>
      </w:r>
    </w:p>
    <w:p>
      <w:pPr>
        <w:spacing w:after="80"/>
      </w:pPr>
      <w:r>
        <w:rPr>
          <w:b/>
        </w:rPr>
        <w:t xml:space="preserve">• </w:t>
      </w:r>
      <w:r>
        <w:t>MADCR-002 is the governing prerequisite for provider adapter/integration architecture.</w:t>
      </w:r>
    </w:p>
    <w:p>
      <w:pPr>
        <w:pStyle w:val="Heading1"/>
      </w:pPr>
      <w:r>
        <w:t>5. Relationship to Other Decisions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Decision</w:t>
            </w:r>
          </w:p>
        </w:tc>
        <w:tc>
          <w:tcPr>
            <w:tcW w:type="dxa" w:w="2880"/>
          </w:tcPr>
          <w:p>
            <w:r>
              <w:t>Relationship</w:t>
            </w:r>
          </w:p>
        </w:tc>
        <w:tc>
          <w:tcPr>
            <w:tcW w:type="dxa" w:w="2880"/>
          </w:tcPr>
          <w:p>
            <w:r>
              <w:t>Boundary</w:t>
            </w:r>
          </w:p>
        </w:tc>
      </w:tr>
      <w:tr>
        <w:tc>
          <w:tcPr>
            <w:tcW w:type="dxa" w:w="2880"/>
            <w:vAlign w:val="top"/>
          </w:tcPr>
          <w:p>
            <w:r>
              <w:t>MADCR-011</w:t>
            </w:r>
          </w:p>
        </w:tc>
        <w:tc>
          <w:tcPr>
            <w:tcW w:type="dxa" w:w="2880"/>
            <w:vAlign w:val="top"/>
          </w:tcPr>
          <w:p>
            <w:r>
              <w:t>Governing prerequisite</w:t>
            </w:r>
          </w:p>
        </w:tc>
        <w:tc>
          <w:tcPr>
            <w:tcW w:type="dxa" w:w="2880"/>
            <w:vAlign w:val="top"/>
          </w:tcPr>
          <w:p>
            <w:r>
              <w:t>Payment = M14 Commercial Payment Subdomain</w:t>
            </w:r>
          </w:p>
        </w:tc>
      </w:tr>
      <w:tr>
        <w:tc>
          <w:tcPr>
            <w:tcW w:type="dxa" w:w="2880"/>
            <w:vAlign w:val="top"/>
          </w:tcPr>
          <w:p>
            <w:r>
              <w:t>MADCR-002</w:t>
            </w:r>
          </w:p>
        </w:tc>
        <w:tc>
          <w:tcPr>
            <w:tcW w:type="dxa" w:w="2880"/>
            <w:vAlign w:val="top"/>
          </w:tcPr>
          <w:p>
            <w:r>
              <w:t>Governing prerequisite</w:t>
            </w:r>
          </w:p>
        </w:tc>
        <w:tc>
          <w:tcPr>
            <w:tcW w:type="dxa" w:w="2880"/>
            <w:vAlign w:val="top"/>
          </w:tcPr>
          <w:p>
            <w:r>
              <w:t>Provider Adapter Architecture</w:t>
            </w:r>
          </w:p>
        </w:tc>
      </w:tr>
      <w:tr>
        <w:tc>
          <w:tcPr>
            <w:tcW w:type="dxa" w:w="2880"/>
            <w:vAlign w:val="top"/>
          </w:tcPr>
          <w:p>
            <w:r>
              <w:t>MADCR-005</w:t>
            </w:r>
          </w:p>
        </w:tc>
        <w:tc>
          <w:tcPr>
            <w:tcW w:type="dxa" w:w="2880"/>
            <w:vAlign w:val="top"/>
          </w:tcPr>
          <w:p>
            <w:r>
              <w:t>Downstream</w:t>
            </w:r>
          </w:p>
        </w:tc>
        <w:tc>
          <w:tcPr>
            <w:tcW w:type="dxa" w:w="2880"/>
            <w:vAlign w:val="top"/>
          </w:tcPr>
          <w:p>
            <w:r>
              <w:t>Payment reconciliation</w:t>
            </w:r>
          </w:p>
        </w:tc>
      </w:tr>
      <w:tr>
        <w:tc>
          <w:tcPr>
            <w:tcW w:type="dxa" w:w="2880"/>
            <w:vAlign w:val="top"/>
          </w:tcPr>
          <w:p>
            <w:r>
              <w:t>MADCR-058</w:t>
            </w:r>
          </w:p>
        </w:tc>
        <w:tc>
          <w:tcPr>
            <w:tcW w:type="dxa" w:w="2880"/>
            <w:vAlign w:val="top"/>
          </w:tcPr>
          <w:p>
            <w:r>
              <w:t>Separate research</w:t>
            </w:r>
          </w:p>
        </w:tc>
        <w:tc>
          <w:tcPr>
            <w:tcW w:type="dxa" w:w="2880"/>
            <w:vAlign w:val="top"/>
          </w:tcPr>
          <w:p>
            <w:r>
              <w:t>Payment Gateway vendor selection</w:t>
            </w:r>
          </w:p>
        </w:tc>
      </w:tr>
      <w:tr>
        <w:tc>
          <w:tcPr>
            <w:tcW w:type="dxa" w:w="2880"/>
            <w:vAlign w:val="top"/>
          </w:tcPr>
          <w:p>
            <w:r>
              <w:t>MADCR-010</w:t>
            </w:r>
          </w:p>
        </w:tc>
        <w:tc>
          <w:tcPr>
            <w:tcW w:type="dxa" w:w="2880"/>
            <w:vAlign w:val="top"/>
          </w:tcPr>
          <w:p>
            <w:r>
              <w:t>Compatible / Governing</w:t>
            </w:r>
          </w:p>
        </w:tc>
        <w:tc>
          <w:tcPr>
            <w:tcW w:type="dxa" w:w="2880"/>
            <w:vAlign w:val="top"/>
          </w:tcPr>
          <w:p>
            <w:r>
              <w:t>Commercial Entitlement remains authoritative for quota capacity</w:t>
            </w:r>
          </w:p>
        </w:tc>
      </w:tr>
    </w:tbl>
    <w:p>
      <w:pPr>
        <w:pStyle w:val="Heading1"/>
      </w:pPr>
      <w:r>
        <w:t>6. In Scope</w:t>
      </w:r>
    </w:p>
    <w:p>
      <w:pPr>
        <w:spacing w:after="80"/>
      </w:pPr>
      <w:r>
        <w:rPr>
          <w:b/>
        </w:rPr>
        <w:t xml:space="preserve">• </w:t>
      </w:r>
      <w:r>
        <w:t>Verified payment confirmation as a prerequisite to commercial fulfillment.</w:t>
      </w:r>
    </w:p>
    <w:p>
      <w:pPr>
        <w:spacing w:after="80"/>
      </w:pPr>
      <w:r>
        <w:rPr>
          <w:b/>
        </w:rPr>
        <w:t xml:space="preserve">• </w:t>
      </w:r>
      <w:r>
        <w:t>Idempotent processing of payment callbacks/retries.</w:t>
      </w:r>
    </w:p>
    <w:p>
      <w:pPr>
        <w:spacing w:after="80"/>
      </w:pPr>
      <w:r>
        <w:rPr>
          <w:b/>
        </w:rPr>
        <w:t xml:space="preserve">• </w:t>
      </w:r>
      <w:r>
        <w:t>Prevention of duplicate commercial outcomes from repeated provider events.</w:t>
      </w:r>
    </w:p>
    <w:p>
      <w:pPr>
        <w:spacing w:after="80"/>
      </w:pPr>
      <w:r>
        <w:rPr>
          <w:b/>
        </w:rPr>
        <w:t xml:space="preserve">• </w:t>
      </w:r>
      <w:r>
        <w:t>Architectural trust boundary between provider result and commercial state mutation.</w:t>
      </w:r>
    </w:p>
    <w:p>
      <w:pPr>
        <w:pStyle w:val="Heading1"/>
      </w:pPr>
      <w:r>
        <w:t>7. Explicit Non-Goals / Not Authorized</w:t>
      </w:r>
    </w:p>
    <w:p>
      <w:pPr>
        <w:spacing w:after="80"/>
      </w:pPr>
      <w:r>
        <w:rPr>
          <w:b/>
        </w:rPr>
        <w:t xml:space="preserve">• </w:t>
      </w:r>
      <w:r>
        <w:t>Exact signature verification algorithm.</w:t>
      </w:r>
    </w:p>
    <w:p>
      <w:pPr>
        <w:spacing w:after="80"/>
      </w:pPr>
      <w:r>
        <w:rPr>
          <w:b/>
        </w:rPr>
        <w:t xml:space="preserve">• </w:t>
      </w:r>
      <w:r>
        <w:t>Synchronous versus asynchronous verification mechanism.</w:t>
      </w:r>
    </w:p>
    <w:p>
      <w:pPr>
        <w:spacing w:after="80"/>
      </w:pPr>
      <w:r>
        <w:rPr>
          <w:b/>
        </w:rPr>
        <w:t xml:space="preserve">• </w:t>
      </w:r>
      <w:r>
        <w:t>Polling versus callback implementation choice.</w:t>
      </w:r>
    </w:p>
    <w:p>
      <w:pPr>
        <w:spacing w:after="80"/>
      </w:pPr>
      <w:r>
        <w:rPr>
          <w:b/>
        </w:rPr>
        <w:t xml:space="preserve">• </w:t>
      </w:r>
      <w:r>
        <w:t>Queue/event-bus selection.</w:t>
      </w:r>
    </w:p>
    <w:p>
      <w:pPr>
        <w:spacing w:after="80"/>
      </w:pPr>
      <w:r>
        <w:rPr>
          <w:b/>
        </w:rPr>
        <w:t xml:space="preserve">• </w:t>
      </w:r>
      <w:r>
        <w:t>Exact idempotency storage model or database table.</w:t>
      </w:r>
    </w:p>
    <w:p>
      <w:pPr>
        <w:spacing w:after="80"/>
      </w:pPr>
      <w:r>
        <w:rPr>
          <w:b/>
        </w:rPr>
        <w:t xml:space="preserve">• </w:t>
      </w:r>
      <w:r>
        <w:t>Unique constraint or locking implementation.</w:t>
      </w:r>
    </w:p>
    <w:p>
      <w:pPr>
        <w:spacing w:after="80"/>
      </w:pPr>
      <w:r>
        <w:rPr>
          <w:b/>
        </w:rPr>
        <w:t xml:space="preserve">• </w:t>
      </w:r>
      <w:r>
        <w:t>Webhook endpoint design.</w:t>
      </w:r>
    </w:p>
    <w:p>
      <w:pPr>
        <w:spacing w:after="80"/>
      </w:pPr>
      <w:r>
        <w:rPr>
          <w:b/>
        </w:rPr>
        <w:t xml:space="preserve">• </w:t>
      </w:r>
      <w:r>
        <w:t>Retry/backoff algorithm.</w:t>
      </w:r>
    </w:p>
    <w:p>
      <w:pPr>
        <w:spacing w:after="80"/>
      </w:pPr>
      <w:r>
        <w:rPr>
          <w:b/>
        </w:rPr>
        <w:t xml:space="preserve">• </w:t>
      </w:r>
      <w:r>
        <w:t>ERD/database schema.</w:t>
      </w:r>
    </w:p>
    <w:p>
      <w:pPr>
        <w:spacing w:after="80"/>
      </w:pPr>
      <w:r>
        <w:rPr>
          <w:b/>
        </w:rPr>
        <w:t xml:space="preserve">• </w:t>
      </w:r>
      <w:r>
        <w:t>API contract.</w:t>
      </w:r>
    </w:p>
    <w:p>
      <w:pPr>
        <w:spacing w:after="80"/>
      </w:pPr>
      <w:r>
        <w:rPr>
          <w:b/>
        </w:rPr>
        <w:t xml:space="preserve">• </w:t>
      </w:r>
      <w:r>
        <w:t>RBAC/RLS.</w:t>
      </w:r>
    </w:p>
    <w:p>
      <w:pPr>
        <w:spacing w:after="80"/>
      </w:pPr>
      <w:r>
        <w:rPr>
          <w:b/>
        </w:rPr>
        <w:t xml:space="preserve">• </w:t>
      </w:r>
      <w:r>
        <w:t>Migration, deployment, or application implementation.</w:t>
      </w:r>
    </w:p>
    <w:p>
      <w:pPr>
        <w:spacing w:after="80"/>
      </w:pPr>
      <w:r>
        <w:rPr>
          <w:b/>
        </w:rPr>
        <w:t xml:space="preserve">• </w:t>
      </w:r>
      <w:r>
        <w:t>Payment reconciliation mechanics governed downstream by MADCR-005.</w:t>
      </w:r>
    </w:p>
    <w:p>
      <w:pPr>
        <w:pStyle w:val="Heading1"/>
      </w:pPr>
      <w:r>
        <w:t>8. OPEN-C01 Disclosure</w:t>
      </w:r>
    </w:p>
    <w:p>
      <w:pPr>
        <w:spacing w:after="80"/>
      </w:pPr>
      <w:r>
        <w:rPr>
          <w:b/>
        </w:rPr>
        <w:t xml:space="preserve">• </w:t>
      </w:r>
      <w:r>
        <w:t>The relationship between AEP-MON-001 and AEP-MON-002 remains an unresolved governance/document-relationship issue.</w:t>
      </w:r>
    </w:p>
    <w:p>
      <w:pPr>
        <w:spacing w:after="80"/>
      </w:pPr>
      <w:r>
        <w:rPr>
          <w:b/>
        </w:rPr>
        <w:t xml:space="preserve">• </w:t>
      </w:r>
      <w:r>
        <w:t>MADCR-003 does not resolve supersession, hierarchy, or precedence between those AEP documents.</w:t>
      </w:r>
    </w:p>
    <w:p>
      <w:pPr>
        <w:spacing w:after="80"/>
      </w:pPr>
      <w:r>
        <w:rPr>
          <w:b/>
        </w:rPr>
        <w:t xml:space="preserve">• </w:t>
      </w:r>
      <w:r>
        <w:t>OPEN-C01 does not invalidate this governing verification/idempotency decision.</w:t>
      </w:r>
    </w:p>
    <w:p>
      <w:pPr>
        <w:pStyle w:val="Heading1"/>
      </w:pPr>
      <w:r>
        <w:t>9. Downstream Impact</w:t>
      </w:r>
    </w:p>
    <w:p>
      <w:pPr>
        <w:spacing w:after="80"/>
      </w:pPr>
      <w:r>
        <w:rPr>
          <w:b/>
        </w:rPr>
        <w:t xml:space="preserve">• </w:t>
      </w:r>
      <w:r>
        <w:t>MADCR-005 may proceed as the next substantive Payment architecture decision for reconciliation.</w:t>
      </w:r>
    </w:p>
    <w:p>
      <w:pPr>
        <w:spacing w:after="80"/>
      </w:pPr>
      <w:r>
        <w:rPr>
          <w:b/>
        </w:rPr>
        <w:t xml:space="preserve">• </w:t>
      </w:r>
      <w:r>
        <w:t>Downstream Payment architecture, ERD, API, RBAC/RLS, migration and implementation must preserve the verification and idempotency invariants established here.</w:t>
      </w:r>
    </w:p>
    <w:p>
      <w:pPr>
        <w:spacing w:after="80"/>
      </w:pPr>
      <w:r>
        <w:rPr>
          <w:b/>
        </w:rPr>
        <w:t xml:space="preserve">• </w:t>
      </w:r>
      <w:r>
        <w:t>Any design that permits an unverified callback to directly mutate commercial fulfillment, or that allows duplicate provider events to create duplicate commercial outcomes, conflicts with this ADR and must return to governance.</w:t>
      </w:r>
    </w:p>
    <w:p>
      <w:pPr>
        <w:pStyle w:val="Heading1"/>
      </w:pPr>
      <w:r>
        <w:t>10. Approval Record</w:t>
      </w:r>
    </w:p>
    <w:p>
      <w:pPr>
        <w:spacing w:after="80"/>
      </w:pPr>
      <w:r>
        <w:rPr>
          <w:b/>
        </w:rPr>
        <w:t xml:space="preserve">• </w:t>
      </w:r>
      <w:r>
        <w:t>ARB-09 formal approval: APPROVED by the user.</w:t>
      </w:r>
    </w:p>
    <w:p>
      <w:pPr>
        <w:spacing w:after="80"/>
      </w:pPr>
      <w:r>
        <w:rPr>
          <w:b/>
        </w:rPr>
        <w:t xml:space="preserve">• </w:t>
      </w:r>
      <w:r>
        <w:t>MADCR-003 is now APPROVED / GOVERNING.</w:t>
      </w:r>
    </w:p>
    <w:p>
      <w:pPr>
        <w:spacing w:after="80"/>
      </w:pPr>
      <w:r>
        <w:rPr>
          <w:b/>
        </w:rPr>
        <w:t xml:space="preserve">• </w:t>
      </w:r>
      <w:r>
        <w:t>Approval authorizes the verification/idempotency architectural invariants only; it does not authorize implementation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