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ADR-011 — MADCR-011: Payment Module Placement</w:t>
      </w:r>
    </w:p>
    <w:p>
      <w:pPr>
        <w:jc w:val="center"/>
      </w:pPr>
      <w:r>
        <w:rPr>
          <w:i/>
          <w:sz w:val="22"/>
        </w:rPr>
        <w:t>Architecture Decision Record — ARB-07 Final / Governing Decision</w:t>
      </w:r>
    </w:p>
    <w:p>
      <w:r>
        <w:t>Prepared from the governing RUMAHAGEN Batch-1 evidence and the approved ARB-07 decision. This document intentionally preserves undecided downstream implementation boundaries.</w:t>
      </w:r>
    </w:p>
    <w:p>
      <w:pPr>
        <w:pStyle w:val="Heading1"/>
      </w:pPr>
      <w:r>
        <w:t>1. 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t>MADCR</w:t>
            </w:r>
          </w:p>
        </w:tc>
        <w:tc>
          <w:tcPr>
            <w:tcW w:type="dxa" w:w="4320"/>
            <w:vAlign w:val="top"/>
          </w:tcPr>
          <w:p>
            <w:r>
              <w:t>MADCR-011</w:t>
            </w:r>
          </w:p>
        </w:tc>
      </w:tr>
      <w:tr>
        <w:tc>
          <w:tcPr>
            <w:tcW w:type="dxa" w:w="4320"/>
            <w:vAlign w:val="top"/>
          </w:tcPr>
          <w:p>
            <w:r>
              <w:t>ARB Batch</w:t>
            </w:r>
          </w:p>
        </w:tc>
        <w:tc>
          <w:tcPr>
            <w:tcW w:type="dxa" w:w="4320"/>
            <w:vAlign w:val="top"/>
          </w:tcPr>
          <w:p>
            <w:r>
              <w:t>ARB-07</w:t>
            </w:r>
          </w:p>
        </w:tc>
      </w:tr>
      <w:tr>
        <w:tc>
          <w:tcPr>
            <w:tcW w:type="dxa" w:w="4320"/>
            <w:vAlign w:val="top"/>
          </w:tcPr>
          <w:p>
            <w:r>
              <w:t>Status</w:t>
            </w:r>
          </w:p>
        </w:tc>
        <w:tc>
          <w:tcPr>
            <w:tcW w:type="dxa" w:w="4320"/>
            <w:vAlign w:val="top"/>
          </w:tcPr>
          <w:p>
            <w:r>
              <w:t>APPROVED / GOVERNING DECISION</w:t>
            </w:r>
          </w:p>
        </w:tc>
      </w:tr>
      <w:tr>
        <w:tc>
          <w:tcPr>
            <w:tcW w:type="dxa" w:w="4320"/>
            <w:vAlign w:val="top"/>
          </w:tcPr>
          <w:p>
            <w:r>
              <w:t>Decision</w:t>
            </w:r>
          </w:p>
        </w:tc>
        <w:tc>
          <w:tcPr>
            <w:tcW w:type="dxa" w:w="4320"/>
            <w:vAlign w:val="top"/>
          </w:tcPr>
          <w:p>
            <w:r>
              <w:t>OPTION A — Payment as Commercial Subdomain (M14)</w:t>
            </w:r>
          </w:p>
        </w:tc>
      </w:tr>
      <w:tr>
        <w:tc>
          <w:tcPr>
            <w:tcW w:type="dxa" w:w="4320"/>
            <w:vAlign w:val="top"/>
          </w:tcPr>
          <w:p>
            <w:r>
              <w:t>Approval Scope</w:t>
            </w:r>
          </w:p>
        </w:tc>
        <w:tc>
          <w:tcPr>
            <w:tcW w:type="dxa" w:w="4320"/>
            <w:vAlign w:val="top"/>
          </w:tcPr>
          <w:p>
            <w:r>
              <w:t>Payment module placement / ownership boundary</w:t>
            </w:r>
          </w:p>
        </w:tc>
      </w:tr>
    </w:tbl>
    <w:p>
      <w:pPr>
        <w:pStyle w:val="Heading1"/>
      </w:pPr>
      <w:r>
        <w:t>2. Decision Statement</w:t>
      </w:r>
    </w:p>
    <w:p>
      <w:pPr>
        <w:spacing w:after="100"/>
      </w:pPr>
      <w:r>
        <w:t>Payment SHALL be modeled as a subdomain within Commercial (M14), rather than as a separate logical module (M16).</w:t>
      </w:r>
    </w:p>
    <w:p>
      <w:pPr>
        <w:pStyle w:val="Heading1"/>
      </w:pPr>
      <w:r>
        <w:t>3. Approved Architectural Boundary</w:t>
      </w:r>
    </w:p>
    <w:p>
      <w:pPr>
        <w:spacing w:after="100"/>
      </w:pPr>
      <w:r>
        <w:t>Payment ownership belongs to the Commercial domain.</w:t>
      </w:r>
    </w:p>
    <w:p>
      <w:pPr>
        <w:spacing w:after="100"/>
      </w:pPr>
      <w:r>
        <w:t>The decision permits a strong internal Payment boundary within M14, including Payment Core and provider-independent adapter boundaries.</w:t>
      </w:r>
    </w:p>
    <w:p>
      <w:pPr>
        <w:spacing w:after="100"/>
      </w:pPr>
      <w:r>
        <w:t>Provider-specific implementation remains behind the provider-adapter boundary.</w:t>
      </w:r>
    </w:p>
    <w:p>
      <w:pPr>
        <w:spacing w:after="100"/>
      </w:pPr>
      <w:r>
        <w:t>This decision does not establish M16 as an approved module.</w:t>
      </w:r>
    </w:p>
    <w:p>
      <w:pPr>
        <w:pStyle w:val="Heading1"/>
      </w:pPr>
      <w:r>
        <w:t>4. Decision Context</w:t>
      </w:r>
    </w:p>
    <w:p>
      <w:pPr>
        <w:spacing w:after="100"/>
      </w:pPr>
      <w:r>
        <w:t>MADCR-011 was the remaining Gate-1 architecture decision concerning whether Payment belongs inside Commercial or should be separated as a logical module.</w:t>
      </w:r>
    </w:p>
    <w:p>
      <w:pPr>
        <w:spacing w:after="100"/>
      </w:pPr>
      <w:r>
        <w:t>MADCR-010 is already APPROVED / GOVERNING and establishes Commercial Entitlement as the authoritative source of Agency/Organization quota capacity. MADCR-011 does not reopen or alter MADCR-010.</w:t>
      </w:r>
    </w:p>
    <w:p>
      <w:pPr>
        <w:spacing w:after="100"/>
      </w:pPr>
      <w:r>
        <w:t>Existing M01–M13 architecture is not reopened by this decision.</w:t>
      </w:r>
    </w:p>
    <w:p>
      <w:pPr>
        <w:pStyle w:val="Heading1"/>
      </w:pPr>
      <w:r>
        <w:t>5. Rationale / ARB Deliberation</w:t>
      </w:r>
    </w:p>
    <w:p>
      <w:pPr>
        <w:spacing w:after="100"/>
      </w:pPr>
      <w:r>
        <w:t>Option A was selected because it achieves the required ownership boundary without introducing a new logical module solely for Payment.</w:t>
      </w:r>
    </w:p>
    <w:p>
      <w:pPr>
        <w:spacing w:after="100"/>
      </w:pPr>
      <w:r>
        <w:t>The available evidence supports provider abstraction, verification, idempotency, webhook handling, reconciliation, refund/chargeback and audit capabilities, but does not establish an authoritative requirement that Payment must be an independent bounded module.</w:t>
      </w:r>
    </w:p>
    <w:p>
      <w:pPr>
        <w:spacing w:after="100"/>
      </w:pPr>
      <w:r>
        <w:t>Payment complexity is therefore not, by itself, treated as evidence requiring a separate module.</w:t>
      </w:r>
    </w:p>
    <w:p>
      <w:pPr>
        <w:spacing w:after="100"/>
      </w:pPr>
      <w:r>
        <w:t>The architecture may preserve strong internal Payment isolation while keeping the top-level ownership boundary within Commercial.</w:t>
      </w:r>
    </w:p>
    <w:p>
      <w:pPr>
        <w:spacing w:after="100"/>
      </w:pPr>
      <w:r>
        <w:t>This approach minimizes immediate architectural surface area while preserving a future evolution path if later evidence demonstrates a genuine need for independent Payment bounded-context ownership.</w:t>
      </w:r>
    </w:p>
    <w:p>
      <w:pPr>
        <w:pStyle w:val="Heading1"/>
      </w:pPr>
      <w:r>
        <w:t>6. Canonical Conceptual Structure</w:t>
      </w:r>
    </w:p>
    <w:p>
      <w:pPr>
        <w:spacing w:after="100"/>
      </w:pPr>
      <w:r>
        <w:t>M14 Commercial</w:t>
      </w:r>
    </w:p>
    <w:p>
      <w:pPr>
        <w:spacing w:after="100"/>
      </w:pPr>
      <w:r>
        <w:t xml:space="preserve">  ├── Subscription</w:t>
      </w:r>
    </w:p>
    <w:p>
      <w:pPr>
        <w:spacing w:after="100"/>
      </w:pPr>
      <w:r>
        <w:t xml:space="preserve">  ├── Promotion</w:t>
      </w:r>
    </w:p>
    <w:p>
      <w:pPr>
        <w:spacing w:after="100"/>
      </w:pPr>
      <w:r>
        <w:t xml:space="preserve">  ├── Entitlement</w:t>
      </w:r>
    </w:p>
    <w:p>
      <w:pPr>
        <w:spacing w:after="100"/>
      </w:pPr>
      <w:r>
        <w:t xml:space="preserve">  ├── Checkout / Order</w:t>
      </w:r>
    </w:p>
    <w:p>
      <w:pPr>
        <w:spacing w:after="100"/>
      </w:pPr>
      <w:r>
        <w:t xml:space="preserve">  └── Payment Subdomain</w:t>
      </w:r>
    </w:p>
    <w:p>
      <w:pPr>
        <w:spacing w:after="100"/>
      </w:pPr>
      <w:r>
        <w:t xml:space="preserve">       ├── Payment Core</w:t>
      </w:r>
    </w:p>
    <w:p>
      <w:pPr>
        <w:spacing w:after="100"/>
      </w:pPr>
      <w:r>
        <w:t xml:space="preserve">       └── Provider Adapter Boundary</w:t>
      </w:r>
    </w:p>
    <w:p>
      <w:pPr>
        <w:pStyle w:val="Heading1"/>
      </w:pPr>
      <w:r>
        <w:t>7. Relationship to Governing Decisions</w:t>
      </w:r>
    </w:p>
    <w:p>
      <w:pPr>
        <w:spacing w:after="100"/>
      </w:pPr>
      <w:r>
        <w:t>MADCR-010 — Compatible. Commercial Entitlement remains authoritative for commercial quota capacity and remains distinct from Subscription and RBAC/authorization.</w:t>
      </w:r>
    </w:p>
    <w:p>
      <w:pPr>
        <w:spacing w:after="100"/>
      </w:pPr>
      <w:r>
        <w:t>MADCR-036 — Unchanged. Title Definition and Award Instance remain separate.</w:t>
      </w:r>
    </w:p>
    <w:p>
      <w:pPr>
        <w:spacing w:after="100"/>
      </w:pPr>
      <w:r>
        <w:t>MADCR-037 — Unchanged. Awarding Path versioning remains independent.</w:t>
      </w:r>
    </w:p>
    <w:p>
      <w:pPr>
        <w:spacing w:after="100"/>
      </w:pPr>
      <w:r>
        <w:t>MADCR-041 — Unchanged. Awarding Rule versioning remains independent.</w:t>
      </w:r>
    </w:p>
    <w:p>
      <w:pPr>
        <w:spacing w:after="100"/>
      </w:pPr>
      <w:r>
        <w:t>MADCR-046 — Unchanged. Certificate/Credential remains separate from Title/Award.</w:t>
      </w:r>
    </w:p>
    <w:p>
      <w:pPr>
        <w:pStyle w:val="Heading1"/>
      </w:pPr>
      <w:r>
        <w:t>8. OPEN-C01 Disclosure</w:t>
      </w:r>
    </w:p>
    <w:p>
      <w:pPr>
        <w:spacing w:after="100"/>
      </w:pPr>
      <w:r>
        <w:t>The relationship between AEP-MON-001 and AEP-MON-002 remains an open governance/document-relationship issue.</w:t>
      </w:r>
    </w:p>
    <w:p>
      <w:pPr>
        <w:spacing w:after="100"/>
      </w:pPr>
      <w:r>
        <w:t>OPEN-C01 does not invalidate or obscure the M14-versus-M16 placement question and therefore does not prevent MADCR-011 approval.</w:t>
      </w:r>
    </w:p>
    <w:p>
      <w:pPr>
        <w:spacing w:after="100"/>
      </w:pPr>
      <w:r>
        <w:t>This ADR does not declare AEP-MON-001 and AEP-MON-002 to have a formally resolved supersession or hierarchy relationship.</w:t>
      </w:r>
    </w:p>
    <w:p>
      <w:pPr>
        <w:pStyle w:val="Heading1"/>
      </w:pPr>
      <w:r>
        <w:t>9. Explicit Non-Goals / Not Authorized by this ADR</w:t>
      </w:r>
    </w:p>
    <w:p>
      <w:pPr>
        <w:spacing w:after="100"/>
      </w:pPr>
      <w:r>
        <w:t>Physical ERD or database schema.</w:t>
      </w:r>
    </w:p>
    <w:p>
      <w:pPr>
        <w:spacing w:after="100"/>
      </w:pPr>
      <w:r>
        <w:t>Foreign-key/reference design.</w:t>
      </w:r>
    </w:p>
    <w:p>
      <w:pPr>
        <w:spacing w:after="100"/>
      </w:pPr>
      <w:r>
        <w:t>Payment API contract or endpoint design.</w:t>
      </w:r>
    </w:p>
    <w:p>
      <w:pPr>
        <w:spacing w:after="100"/>
      </w:pPr>
      <w:r>
        <w:t>Webhook implementation.</w:t>
      </w:r>
    </w:p>
    <w:p>
      <w:pPr>
        <w:spacing w:after="100"/>
      </w:pPr>
      <w:r>
        <w:t>Payment provider selection or vendor integration.</w:t>
      </w:r>
    </w:p>
    <w:p>
      <w:pPr>
        <w:spacing w:after="100"/>
      </w:pPr>
      <w:r>
        <w:t>RBAC/RLS implementation.</w:t>
      </w:r>
    </w:p>
    <w:p>
      <w:pPr>
        <w:spacing w:after="100"/>
      </w:pPr>
      <w:r>
        <w:t>Migration or database execution.</w:t>
      </w:r>
    </w:p>
    <w:p>
      <w:pPr>
        <w:spacing w:after="100"/>
      </w:pPr>
      <w:r>
        <w:t>Deployment or microservice boundary.</w:t>
      </w:r>
    </w:p>
    <w:p>
      <w:pPr>
        <w:spacing w:after="100"/>
      </w:pPr>
      <w:r>
        <w:t>Detailed reconciliation, refund/chargeback or transaction-state mechanics.</w:t>
      </w:r>
    </w:p>
    <w:p>
      <w:pPr>
        <w:spacing w:after="100"/>
      </w:pPr>
      <w:r>
        <w:t>UI implementation.</w:t>
      </w:r>
    </w:p>
    <w:p>
      <w:pPr>
        <w:pStyle w:val="Heading1"/>
      </w:pPr>
      <w:r>
        <w:t>10. Downstream Impact</w:t>
      </w:r>
    </w:p>
    <w:p>
      <w:pPr>
        <w:spacing w:after="100"/>
      </w:pPr>
      <w:r>
        <w:t>MADCR-002 and MADCR-003 may now proceed as downstream architecture decisions within the approved M14 Payment boundary.</w:t>
      </w:r>
    </w:p>
    <w:p>
      <w:pPr>
        <w:spacing w:after="100"/>
      </w:pPr>
      <w:r>
        <w:t>MADCR-053 and MADCR-055 may consume the approved Payment ownership boundary for subsequent security and Commercial administration decisions.</w:t>
      </w:r>
    </w:p>
    <w:p>
      <w:pPr>
        <w:spacing w:after="100"/>
      </w:pPr>
      <w:r>
        <w:t>Downstream ERD → API → RBAC/RLS → migration → implementation must remain consistent with this ADR.</w:t>
      </w:r>
    </w:p>
    <w:p>
      <w:pPr>
        <w:spacing w:after="100"/>
      </w:pPr>
      <w:r>
        <w:t>Any downstream proposal that attempts to make Payment a separate M16 module would conflict with this governing decision and must return to governance for reconciliation before implementation.</w:t>
      </w:r>
    </w:p>
    <w:p>
      <w:pPr>
        <w:pStyle w:val="Heading1"/>
      </w:pPr>
      <w:r>
        <w:t>11. Governance / Dependency Hygiene</w:t>
      </w:r>
    </w:p>
    <w:p>
      <w:pPr>
        <w:spacing w:after="100"/>
      </w:pPr>
      <w:r>
        <w:t>Known dependency/documentation discrepancies remain governance-maintenance work and are not silently changed by this ADR.</w:t>
      </w:r>
    </w:p>
    <w:p>
      <w:pPr>
        <w:spacing w:after="100"/>
      </w:pPr>
      <w:r>
        <w:t>MADCR-011 approval does not resolve OPEN-C01, MADCR-012, MADCR-049, or DISC-08/CR-04.</w:t>
      </w:r>
    </w:p>
    <w:p>
      <w:pPr>
        <w:pStyle w:val="Heading1"/>
      </w:pPr>
      <w:r>
        <w:t>12. Approval Record</w:t>
      </w:r>
    </w:p>
    <w:p>
      <w:pPr>
        <w:spacing w:after="100"/>
      </w:pPr>
      <w:r>
        <w:t>ARB-07 formal approval: APPROVED by the user after review and acceptance of Option A.</w:t>
      </w:r>
    </w:p>
    <w:p>
      <w:pPr>
        <w:spacing w:after="100"/>
      </w:pPr>
      <w:r>
        <w:t>MADCR-011 is now APPROVED / GOVERNING.</w:t>
      </w:r>
    </w:p>
    <w:p>
      <w:pPr>
        <w:spacing w:after="100"/>
      </w:pPr>
      <w:r>
        <w:t>Approval authorizes the architectural placement decision only. It does not retroactively authorize downstream implementation details explicitly excluded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