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RUMAHAGEN — Batch-0 Governance Readiness &amp; Canonicalization Audit</w:t>
      </w:r>
    </w:p>
    <w:p>
      <w:pPr>
        <w:jc w:val="center"/>
      </w:pPr>
      <w:r>
        <w:rPr>
          <w:i/>
        </w:rPr>
        <w:t>v1.0 — Governance Foundation Gate</w:t>
      </w:r>
    </w:p>
    <w:p>
      <w:pPr>
        <w:pStyle w:val="Heading1"/>
      </w:pPr>
      <w:r>
        <w:t>1. Audit Mandate</w:t>
      </w:r>
    </w:p>
    <w:p>
      <w:r>
        <w:rPr>
          <w:b/>
        </w:rPr>
        <w:t xml:space="preserve">• </w:t>
      </w:r>
      <w:r>
        <w:t>The uploaded ADR-BATCH-READINESS-MATRIX-v1.0 explicitly defines Batch 0 as ADR Governance Setup and classifies its contents as G (Already Decided) or F (Governance), not new Category-A architecture decisions.</w:t>
      </w:r>
    </w:p>
    <w:p>
      <w:r>
        <w:rPr>
          <w:b/>
        </w:rPr>
        <w:t xml:space="preserve">• </w:t>
      </w:r>
      <w:r>
        <w:t>Batch 0 is therefore audited as governance readiness/canonicalization, not as an ADR decision batch.</w:t>
      </w:r>
    </w:p>
    <w:p>
      <w:r>
        <w:rPr>
          <w:b/>
        </w:rPr>
        <w:t xml:space="preserve">• </w:t>
      </w:r>
      <w:r>
        <w:t>The matrix itself is a governance planning artifact and does not contain ADR content.</w:t>
      </w:r>
    </w:p>
    <w:p>
      <w:pPr>
        <w:pStyle w:val="Heading1"/>
      </w:pPr>
      <w:r>
        <w:t>2. Source Status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Item</w:t>
            </w:r>
          </w:p>
        </w:tc>
        <w:tc>
          <w:tcPr>
            <w:tcW w:type="dxa" w:w="1234"/>
          </w:tcPr>
          <w:p>
            <w:r>
              <w:t>Scope</w:t>
            </w:r>
          </w:p>
        </w:tc>
        <w:tc>
          <w:tcPr>
            <w:tcW w:type="dxa" w:w="1234"/>
          </w:tcPr>
          <w:p>
            <w:r>
              <w:t>Category</w:t>
            </w:r>
          </w:p>
        </w:tc>
        <w:tc>
          <w:tcPr>
            <w:tcW w:type="dxa" w:w="1234"/>
          </w:tcPr>
          <w:p>
            <w:r>
              <w:t>Evidence Ready</w:t>
            </w:r>
          </w:p>
        </w:tc>
        <w:tc>
          <w:tcPr>
            <w:tcW w:type="dxa" w:w="1234"/>
          </w:tcPr>
          <w:p>
            <w:r>
              <w:t>Business Decision</w:t>
            </w:r>
          </w:p>
        </w:tc>
        <w:tc>
          <w:tcPr>
            <w:tcW w:type="dxa" w:w="1234"/>
          </w:tcPr>
          <w:p>
            <w:r>
              <w:t>Draftability</w:t>
            </w:r>
          </w:p>
        </w:tc>
        <w:tc>
          <w:tcPr>
            <w:tcW w:type="dxa" w:w="1234"/>
          </w:tcPr>
          <w:p>
            <w:r>
              <w:t>Audit Result</w:t>
            </w:r>
          </w:p>
        </w:tc>
      </w:tr>
      <w:tr>
        <w:tc>
          <w:tcPr>
            <w:tcW w:type="dxa" w:w="1234"/>
            <w:vAlign w:val="top"/>
          </w:tcPr>
          <w:p>
            <w:r>
              <w:t>MADCR-022</w:t>
            </w:r>
          </w:p>
        </w:tc>
        <w:tc>
          <w:tcPr>
            <w:tcW w:type="dxa" w:w="1234"/>
            <w:vAlign w:val="top"/>
          </w:tcPr>
          <w:p>
            <w:r>
              <w:t>Formalize Learning Session-in-Learning-Domain as numbered repo ADR</w:t>
            </w:r>
          </w:p>
        </w:tc>
        <w:tc>
          <w:tcPr>
            <w:tcW w:type="dxa" w:w="1234"/>
            <w:vAlign w:val="top"/>
          </w:tcPr>
          <w:p>
            <w:r>
              <w:t>G — Already Decided</w:t>
            </w:r>
          </w:p>
        </w:tc>
        <w:tc>
          <w:tcPr>
            <w:tcW w:type="dxa" w:w="1234"/>
            <w:vAlign w:val="top"/>
          </w:tcPr>
          <w:p>
            <w:r>
              <w:t>Yes</w:t>
            </w:r>
          </w:p>
        </w:tc>
        <w:tc>
          <w:tcPr>
            <w:tcW w:type="dxa" w:w="1234"/>
            <w:vAlign w:val="top"/>
          </w:tcPr>
          <w:p>
            <w:r>
              <w:t>No</w:t>
            </w:r>
          </w:p>
        </w:tc>
        <w:tc>
          <w:tcPr>
            <w:tcW w:type="dxa" w:w="1234"/>
            <w:vAlign w:val="top"/>
          </w:tcPr>
          <w:p>
            <w:r>
              <w:t>N/A</w:t>
            </w:r>
          </w:p>
        </w:tc>
        <w:tc>
          <w:tcPr>
            <w:tcW w:type="dxa" w:w="1234"/>
            <w:vAlign w:val="top"/>
          </w:tcPr>
          <w:p>
            <w:r>
              <w:t>Formal governance record only</w:t>
            </w:r>
          </w:p>
        </w:tc>
      </w:tr>
      <w:tr>
        <w:tc>
          <w:tcPr>
            <w:tcW w:type="dxa" w:w="1234"/>
            <w:vAlign w:val="top"/>
          </w:tcPr>
          <w:p>
            <w:r>
              <w:t>MADCR-029</w:t>
            </w:r>
          </w:p>
        </w:tc>
        <w:tc>
          <w:tcPr>
            <w:tcW w:type="dxa" w:w="1234"/>
            <w:vAlign w:val="top"/>
          </w:tcPr>
          <w:p>
            <w:r>
              <w:t>Formalize provider-credentials-server-side as numbered repo ADR</w:t>
            </w:r>
          </w:p>
        </w:tc>
        <w:tc>
          <w:tcPr>
            <w:tcW w:type="dxa" w:w="1234"/>
            <w:vAlign w:val="top"/>
          </w:tcPr>
          <w:p>
            <w:r>
              <w:t>G — Already Decided</w:t>
            </w:r>
          </w:p>
        </w:tc>
        <w:tc>
          <w:tcPr>
            <w:tcW w:type="dxa" w:w="1234"/>
            <w:vAlign w:val="top"/>
          </w:tcPr>
          <w:p>
            <w:r>
              <w:t>Yes</w:t>
            </w:r>
          </w:p>
        </w:tc>
        <w:tc>
          <w:tcPr>
            <w:tcW w:type="dxa" w:w="1234"/>
            <w:vAlign w:val="top"/>
          </w:tcPr>
          <w:p>
            <w:r>
              <w:t>No</w:t>
            </w:r>
          </w:p>
        </w:tc>
        <w:tc>
          <w:tcPr>
            <w:tcW w:type="dxa" w:w="1234"/>
            <w:vAlign w:val="top"/>
          </w:tcPr>
          <w:p>
            <w:r>
              <w:t>N/A</w:t>
            </w:r>
          </w:p>
        </w:tc>
        <w:tc>
          <w:tcPr>
            <w:tcW w:type="dxa" w:w="1234"/>
            <w:vAlign w:val="top"/>
          </w:tcPr>
          <w:p>
            <w:r>
              <w:t>Formal governance record only</w:t>
            </w:r>
          </w:p>
        </w:tc>
      </w:tr>
      <w:tr>
        <w:tc>
          <w:tcPr>
            <w:tcW w:type="dxa" w:w="1234"/>
            <w:vAlign w:val="top"/>
          </w:tcPr>
          <w:p>
            <w:r>
              <w:t>MADCR-059</w:t>
            </w:r>
          </w:p>
        </w:tc>
        <w:tc>
          <w:tcPr>
            <w:tcW w:type="dxa" w:w="1234"/>
            <w:vAlign w:val="top"/>
          </w:tcPr>
          <w:p>
            <w:r>
              <w:t>Migration -FIXED canonicalization</w:t>
            </w:r>
          </w:p>
        </w:tc>
        <w:tc>
          <w:tcPr>
            <w:tcW w:type="dxa" w:w="1234"/>
            <w:vAlign w:val="top"/>
          </w:tcPr>
          <w:p>
            <w:r>
              <w:t>F — Governance</w:t>
            </w:r>
          </w:p>
        </w:tc>
        <w:tc>
          <w:tcPr>
            <w:tcW w:type="dxa" w:w="1234"/>
            <w:vAlign w:val="top"/>
          </w:tcPr>
          <w:p>
            <w:r>
              <w:t>Yes</w:t>
            </w:r>
          </w:p>
        </w:tc>
        <w:tc>
          <w:tcPr>
            <w:tcW w:type="dxa" w:w="1234"/>
            <w:vAlign w:val="top"/>
          </w:tcPr>
          <w:p>
            <w:r>
              <w:t>No</w:t>
            </w:r>
          </w:p>
        </w:tc>
        <w:tc>
          <w:tcPr>
            <w:tcW w:type="dxa" w:w="1234"/>
            <w:vAlign w:val="top"/>
          </w:tcPr>
          <w:p>
            <w:r>
              <w:t>N/A</w:t>
            </w:r>
          </w:p>
        </w:tc>
        <w:tc>
          <w:tcPr>
            <w:tcW w:type="dxa" w:w="1234"/>
            <w:vAlign w:val="top"/>
          </w:tcPr>
          <w:p>
            <w:r>
              <w:t>Execution/canonicalization task</w:t>
            </w:r>
          </w:p>
        </w:tc>
      </w:tr>
      <w:tr>
        <w:tc>
          <w:tcPr>
            <w:tcW w:type="dxa" w:w="1234"/>
            <w:vAlign w:val="top"/>
          </w:tcPr>
          <w:p>
            <w:r>
              <w:t>MADCR-012 / OPEN-C01</w:t>
            </w:r>
          </w:p>
        </w:tc>
        <w:tc>
          <w:tcPr>
            <w:tcW w:type="dxa" w:w="1234"/>
            <w:vAlign w:val="top"/>
          </w:tcPr>
          <w:p>
            <w:r>
              <w:t>Clarify AEP-MON-001 vs AEP-MON-002 relationship</w:t>
            </w:r>
          </w:p>
        </w:tc>
        <w:tc>
          <w:tcPr>
            <w:tcW w:type="dxa" w:w="1234"/>
            <w:vAlign w:val="top"/>
          </w:tcPr>
          <w:p>
            <w:r>
              <w:t>F — Governance</w:t>
            </w:r>
          </w:p>
        </w:tc>
        <w:tc>
          <w:tcPr>
            <w:tcW w:type="dxa" w:w="1234"/>
            <w:vAlign w:val="top"/>
          </w:tcPr>
          <w:p>
            <w:r>
              <w:t>Partial</w:t>
            </w:r>
          </w:p>
        </w:tc>
        <w:tc>
          <w:tcPr>
            <w:tcW w:type="dxa" w:w="1234"/>
            <w:vAlign w:val="top"/>
          </w:tcPr>
          <w:p>
            <w:r>
              <w:t>Yes — Business Owner intent</w:t>
            </w:r>
          </w:p>
        </w:tc>
        <w:tc>
          <w:tcPr>
            <w:tcW w:type="dxa" w:w="1234"/>
            <w:vAlign w:val="top"/>
          </w:tcPr>
          <w:p>
            <w:r>
              <w:t>N/A</w:t>
            </w:r>
          </w:p>
        </w:tc>
        <w:tc>
          <w:tcPr>
            <w:tcW w:type="dxa" w:w="1234"/>
            <w:vAlign w:val="top"/>
          </w:tcPr>
          <w:p>
            <w:r>
              <w:t>Open governance/document relationship</w:t>
            </w:r>
          </w:p>
        </w:tc>
      </w:tr>
      <w:tr>
        <w:tc>
          <w:tcPr>
            <w:tcW w:type="dxa" w:w="1234"/>
            <w:vAlign w:val="top"/>
          </w:tcPr>
          <w:p>
            <w:r>
              <w:t>DISC-06</w:t>
            </w:r>
          </w:p>
        </w:tc>
        <w:tc>
          <w:tcPr>
            <w:tcW w:type="dxa" w:w="1234"/>
            <w:vAlign w:val="top"/>
          </w:tcPr>
          <w:p>
            <w:r>
              <w:t>MADCR dependency hygiene</w:t>
            </w:r>
          </w:p>
        </w:tc>
        <w:tc>
          <w:tcPr>
            <w:tcW w:type="dxa" w:w="1234"/>
            <w:vAlign w:val="top"/>
          </w:tcPr>
          <w:p>
            <w:r>
              <w:t>F — Governance</w:t>
            </w:r>
          </w:p>
        </w:tc>
        <w:tc>
          <w:tcPr>
            <w:tcW w:type="dxa" w:w="1234"/>
            <w:vAlign w:val="top"/>
          </w:tcPr>
          <w:p>
            <w:r>
              <w:t>Yes</w:t>
            </w:r>
          </w:p>
        </w:tc>
        <w:tc>
          <w:tcPr>
            <w:tcW w:type="dxa" w:w="1234"/>
            <w:vAlign w:val="top"/>
          </w:tcPr>
          <w:p>
            <w:r>
              <w:t>No</w:t>
            </w:r>
          </w:p>
        </w:tc>
        <w:tc>
          <w:tcPr>
            <w:tcW w:type="dxa" w:w="1234"/>
            <w:vAlign w:val="top"/>
          </w:tcPr>
          <w:p>
            <w:r>
              <w:t>N/A</w:t>
            </w:r>
          </w:p>
        </w:tc>
        <w:tc>
          <w:tcPr>
            <w:tcW w:type="dxa" w:w="1234"/>
            <w:vAlign w:val="top"/>
          </w:tcPr>
          <w:p>
            <w:r>
              <w:t>Document-custodian maintenance</w:t>
            </w:r>
          </w:p>
        </w:tc>
      </w:tr>
      <w:tr>
        <w:tc>
          <w:tcPr>
            <w:tcW w:type="dxa" w:w="1234"/>
            <w:vAlign w:val="top"/>
          </w:tcPr>
          <w:p>
            <w:r>
              <w:t>DISC-07</w:t>
            </w:r>
          </w:p>
        </w:tc>
        <w:tc>
          <w:tcPr>
            <w:tcW w:type="dxa" w:w="1234"/>
            <w:vAlign w:val="top"/>
          </w:tcPr>
          <w:p>
            <w:r>
              <w:t>MADCR dependency hygiene</w:t>
            </w:r>
          </w:p>
        </w:tc>
        <w:tc>
          <w:tcPr>
            <w:tcW w:type="dxa" w:w="1234"/>
            <w:vAlign w:val="top"/>
          </w:tcPr>
          <w:p>
            <w:r>
              <w:t>F — Governance</w:t>
            </w:r>
          </w:p>
        </w:tc>
        <w:tc>
          <w:tcPr>
            <w:tcW w:type="dxa" w:w="1234"/>
            <w:vAlign w:val="top"/>
          </w:tcPr>
          <w:p>
            <w:r>
              <w:t>Yes</w:t>
            </w:r>
          </w:p>
        </w:tc>
        <w:tc>
          <w:tcPr>
            <w:tcW w:type="dxa" w:w="1234"/>
            <w:vAlign w:val="top"/>
          </w:tcPr>
          <w:p>
            <w:r>
              <w:t>No</w:t>
            </w:r>
          </w:p>
        </w:tc>
        <w:tc>
          <w:tcPr>
            <w:tcW w:type="dxa" w:w="1234"/>
            <w:vAlign w:val="top"/>
          </w:tcPr>
          <w:p>
            <w:r>
              <w:t>N/A</w:t>
            </w:r>
          </w:p>
        </w:tc>
        <w:tc>
          <w:tcPr>
            <w:tcW w:type="dxa" w:w="1234"/>
            <w:vAlign w:val="top"/>
          </w:tcPr>
          <w:p>
            <w:r>
              <w:t>Document-custodian maintenance</w:t>
            </w:r>
          </w:p>
        </w:tc>
      </w:tr>
      <w:tr>
        <w:tc>
          <w:tcPr>
            <w:tcW w:type="dxa" w:w="1234"/>
            <w:vAlign w:val="top"/>
          </w:tcPr>
          <w:p>
            <w:r>
              <w:t>DISC-08 / CR-04</w:t>
            </w:r>
          </w:p>
        </w:tc>
        <w:tc>
          <w:tcPr>
            <w:tcW w:type="dxa" w:w="1234"/>
            <w:vAlign w:val="top"/>
          </w:tcPr>
          <w:p>
            <w:r>
              <w:t>Dependency-field canonicalization</w:t>
            </w:r>
          </w:p>
        </w:tc>
        <w:tc>
          <w:tcPr>
            <w:tcW w:type="dxa" w:w="1234"/>
            <w:vAlign w:val="top"/>
          </w:tcPr>
          <w:p>
            <w:r>
              <w:t>F — Governance</w:t>
            </w:r>
          </w:p>
        </w:tc>
        <w:tc>
          <w:tcPr>
            <w:tcW w:type="dxa" w:w="1234"/>
            <w:vAlign w:val="top"/>
          </w:tcPr>
          <w:p>
            <w:r>
              <w:t>Yes</w:t>
            </w:r>
          </w:p>
        </w:tc>
        <w:tc>
          <w:tcPr>
            <w:tcW w:type="dxa" w:w="1234"/>
            <w:vAlign w:val="top"/>
          </w:tcPr>
          <w:p>
            <w:r>
              <w:t>No</w:t>
            </w:r>
          </w:p>
        </w:tc>
        <w:tc>
          <w:tcPr>
            <w:tcW w:type="dxa" w:w="1234"/>
            <w:vAlign w:val="top"/>
          </w:tcPr>
          <w:p>
            <w:r>
              <w:t>N/A</w:t>
            </w:r>
          </w:p>
        </w:tc>
        <w:tc>
          <w:tcPr>
            <w:tcW w:type="dxa" w:w="1234"/>
            <w:vAlign w:val="top"/>
          </w:tcPr>
          <w:p>
            <w:r>
              <w:t>Still open/hygiene in MAEDR Batch 1 v1.3</w:t>
            </w:r>
          </w:p>
        </w:tc>
      </w:tr>
      <w:tr>
        <w:tc>
          <w:tcPr>
            <w:tcW w:type="dxa" w:w="1234"/>
            <w:vAlign w:val="top"/>
          </w:tcPr>
          <w:p>
            <w:r>
              <w:t>D-01</w:t>
            </w:r>
          </w:p>
        </w:tc>
        <w:tc>
          <w:tcPr>
            <w:tcW w:type="dxa" w:w="1234"/>
            <w:vAlign w:val="top"/>
          </w:tcPr>
          <w:p>
            <w:r>
              <w:t>ADR inventory / MADCR count correction</w:t>
            </w:r>
          </w:p>
        </w:tc>
        <w:tc>
          <w:tcPr>
            <w:tcW w:type="dxa" w:w="1234"/>
            <w:vAlign w:val="top"/>
          </w:tcPr>
          <w:p>
            <w:r>
              <w:t>F — Governance</w:t>
            </w:r>
          </w:p>
        </w:tc>
        <w:tc>
          <w:tcPr>
            <w:tcW w:type="dxa" w:w="1234"/>
            <w:vAlign w:val="top"/>
          </w:tcPr>
          <w:p>
            <w:r>
              <w:t>Yes</w:t>
            </w:r>
          </w:p>
        </w:tc>
        <w:tc>
          <w:tcPr>
            <w:tcW w:type="dxa" w:w="1234"/>
            <w:vAlign w:val="top"/>
          </w:tcPr>
          <w:p>
            <w:r>
              <w:t>No</w:t>
            </w:r>
          </w:p>
        </w:tc>
        <w:tc>
          <w:tcPr>
            <w:tcW w:type="dxa" w:w="1234"/>
            <w:vAlign w:val="top"/>
          </w:tcPr>
          <w:p>
            <w:r>
              <w:t>N/A</w:t>
            </w:r>
          </w:p>
        </w:tc>
        <w:tc>
          <w:tcPr>
            <w:tcW w:type="dxa" w:w="1234"/>
            <w:vAlign w:val="top"/>
          </w:tcPr>
          <w:p>
            <w:r>
              <w:t>Document inventory maintenance</w:t>
            </w:r>
          </w:p>
        </w:tc>
      </w:tr>
      <w:tr>
        <w:tc>
          <w:tcPr>
            <w:tcW w:type="dxa" w:w="1234"/>
            <w:vAlign w:val="top"/>
          </w:tcPr>
          <w:p>
            <w:r>
              <w:t>D-02</w:t>
            </w:r>
          </w:p>
        </w:tc>
        <w:tc>
          <w:tcPr>
            <w:tcW w:type="dxa" w:w="1234"/>
            <w:vAlign w:val="top"/>
          </w:tcPr>
          <w:p>
            <w:r>
              <w:t>technology-decisions refresh</w:t>
            </w:r>
          </w:p>
        </w:tc>
        <w:tc>
          <w:tcPr>
            <w:tcW w:type="dxa" w:w="1234"/>
            <w:vAlign w:val="top"/>
          </w:tcPr>
          <w:p>
            <w:r>
              <w:t>F — Governance</w:t>
            </w:r>
          </w:p>
        </w:tc>
        <w:tc>
          <w:tcPr>
            <w:tcW w:type="dxa" w:w="1234"/>
            <w:vAlign w:val="top"/>
          </w:tcPr>
          <w:p>
            <w:r>
              <w:t>Yes</w:t>
            </w:r>
          </w:p>
        </w:tc>
        <w:tc>
          <w:tcPr>
            <w:tcW w:type="dxa" w:w="1234"/>
            <w:vAlign w:val="top"/>
          </w:tcPr>
          <w:p>
            <w:r>
              <w:t>No</w:t>
            </w:r>
          </w:p>
        </w:tc>
        <w:tc>
          <w:tcPr>
            <w:tcW w:type="dxa" w:w="1234"/>
            <w:vAlign w:val="top"/>
          </w:tcPr>
          <w:p>
            <w:r>
              <w:t>N/A</w:t>
            </w:r>
          </w:p>
        </w:tc>
        <w:tc>
          <w:tcPr>
            <w:tcW w:type="dxa" w:w="1234"/>
            <w:vAlign w:val="top"/>
          </w:tcPr>
          <w:p>
            <w:r>
              <w:t>Document inventory maintenance</w:t>
            </w:r>
          </w:p>
        </w:tc>
      </w:tr>
    </w:tbl>
    <w:p>
      <w:pPr>
        <w:pStyle w:val="Heading1"/>
      </w:pPr>
      <w:r>
        <w:t>3. Confirmed Findings</w:t>
      </w:r>
    </w:p>
    <w:p>
      <w:r>
        <w:rPr>
          <w:b/>
        </w:rPr>
        <w:t xml:space="preserve">• </w:t>
      </w:r>
      <w:r>
        <w:t>MADCR-022 and MADCR-029 are explicitly described by the matrix as already decided and only requiring formal ADR numbering. No new business or architecture decision is required.</w:t>
      </w:r>
    </w:p>
    <w:p>
      <w:r>
        <w:rPr>
          <w:b/>
        </w:rPr>
        <w:t xml:space="preserve">• </w:t>
      </w:r>
      <w:r>
        <w:t>MADCR-059 is explicitly an existing-baseline migration -FIXED canonicalization task, not a new architecture-wave item.</w:t>
      </w:r>
    </w:p>
    <w:p>
      <w:r>
        <w:rPr>
          <w:b/>
        </w:rPr>
        <w:t xml:space="preserve">• </w:t>
      </w:r>
      <w:r>
        <w:t>MADCR-012 / OPEN-C01 is the only Batch-0 item requiring Business Owner intent. The matrix says evidence is partial because the relationship between AEP-MON-001 and AEP-MON-002 was never explicitly documented.</w:t>
      </w:r>
    </w:p>
    <w:p>
      <w:r>
        <w:rPr>
          <w:b/>
        </w:rPr>
        <w:t xml:space="preserve">• </w:t>
      </w:r>
      <w:r>
        <w:t>DISC-06/07/08 and D-01/D-02 are document/governance maintenance tasks, not architecture decisions.</w:t>
      </w:r>
    </w:p>
    <w:p>
      <w:r>
        <w:rPr>
          <w:b/>
        </w:rPr>
        <w:t xml:space="preserve">• </w:t>
      </w:r>
      <w:r>
        <w:t>MAEDR Batch 1 v1.3 independently confirms OPEN-C01/MADCR-012 remains open governance work and DISC-08/CR-04 remains open hygiene; MADCR-011 approval did not silently close either item.</w:t>
      </w:r>
    </w:p>
    <w:p>
      <w:pPr>
        <w:pStyle w:val="Heading1"/>
      </w:pPr>
      <w:r>
        <w:t>4. Blocking Assessment</w:t>
      </w:r>
    </w:p>
    <w:p>
      <w:r>
        <w:rPr>
          <w:b/>
        </w:rPr>
        <w:t xml:space="preserve">• </w:t>
      </w:r>
      <w:r>
        <w:t>MADCR-022: NON-BLOCKING; governance-record task.</w:t>
      </w:r>
    </w:p>
    <w:p>
      <w:r>
        <w:rPr>
          <w:b/>
        </w:rPr>
        <w:t xml:space="preserve">• </w:t>
      </w:r>
      <w:r>
        <w:t>MADCR-029: NON-BLOCKING; governance-record task.</w:t>
      </w:r>
    </w:p>
    <w:p>
      <w:r>
        <w:rPr>
          <w:b/>
        </w:rPr>
        <w:t xml:space="preserve">• </w:t>
      </w:r>
      <w:r>
        <w:t>MADCR-059: NON-BLOCKING to architecture decisions; execution/canonicalization task.</w:t>
      </w:r>
    </w:p>
    <w:p>
      <w:r>
        <w:rPr>
          <w:b/>
        </w:rPr>
        <w:t xml:space="preserve">• </w:t>
      </w:r>
      <w:r>
        <w:t>DISC-06/07/08 and D-01/D-02: NON-BLOCKING governance hygiene unless a downstream artifact explicitly depends on their unresolved state.</w:t>
      </w:r>
    </w:p>
    <w:p>
      <w:r>
        <w:rPr>
          <w:b/>
        </w:rPr>
        <w:t xml:space="preserve">• </w:t>
      </w:r>
      <w:r>
        <w:t>OPEN-C01/MADCR-012: OPEN and potentially relevant to Commercial cluster approval according to the matrix, but approved MADCR-011 explicitly says OPEN-C01 does not invalidate MADCR-011 and does not require reopening it. It remains separate governance work.</w:t>
      </w:r>
    </w:p>
    <w:p>
      <w:pPr>
        <w:pStyle w:val="Heading1"/>
      </w:pPr>
      <w:r>
        <w:t>5. Gate Result</w:t>
      </w:r>
    </w:p>
    <w:p>
      <w:r>
        <w:rPr>
          <w:b/>
        </w:rPr>
        <w:t xml:space="preserve">• </w:t>
      </w:r>
      <w:r>
        <w:t>BATCH-0 GOVERNANCE READINESS: PASS WITH RESIDUALS.</w:t>
      </w:r>
    </w:p>
    <w:p>
      <w:r>
        <w:rPr>
          <w:b/>
        </w:rPr>
        <w:t xml:space="preserve">• </w:t>
      </w:r>
      <w:r>
        <w:t>Governance foundation is sufficient for continued architecture work because no Batch-0 item has been identified as invalidating an approved architecture decision.</w:t>
      </w:r>
    </w:p>
    <w:p>
      <w:r>
        <w:rPr>
          <w:b/>
        </w:rPr>
        <w:t xml:space="preserve">• </w:t>
      </w:r>
      <w:r>
        <w:t>BATCH-0 FULL CANONICALIZATION: NOT CLOSED.</w:t>
      </w:r>
    </w:p>
    <w:p>
      <w:r>
        <w:rPr>
          <w:b/>
        </w:rPr>
        <w:t xml:space="preserve">• </w:t>
      </w:r>
      <w:r>
        <w:t>Residual open items: OPEN-C01/MADCR-012 and DISC-08/CR-04; formalization/maintenance items remain to be completed where not already evidenced as completed.</w:t>
      </w:r>
    </w:p>
    <w:p>
      <w:r>
        <w:rPr>
          <w:b/>
        </w:rPr>
        <w:t xml:space="preserve">• </w:t>
      </w:r>
      <w:r>
        <w:t>No new MADCR is required by this audit.</w:t>
      </w:r>
    </w:p>
    <w:p>
      <w:r>
        <w:rPr>
          <w:b/>
        </w:rPr>
        <w:t xml:space="preserve">• </w:t>
      </w:r>
      <w:r>
        <w:t>No approved ADR is reopened.</w:t>
      </w:r>
    </w:p>
    <w:p>
      <w:pPr>
        <w:pStyle w:val="Heading1"/>
      </w:pPr>
      <w:r>
        <w:t>6. Lead Decision</w:t>
      </w:r>
    </w:p>
    <w:p>
      <w:r>
        <w:rPr>
          <w:b/>
        </w:rPr>
        <w:t xml:space="preserve">• </w:t>
      </w:r>
      <w:r>
        <w:t>Batch 0 is now treated as a formal governance layer and has been audited rather than skipped.</w:t>
      </w:r>
    </w:p>
    <w:p>
      <w:r>
        <w:rPr>
          <w:b/>
        </w:rPr>
        <w:t xml:space="preserve">• </w:t>
      </w:r>
      <w:r>
        <w:t>Do not force-close OPEN-C01 or DISC-08 merely to obtain a green label.</w:t>
      </w:r>
    </w:p>
    <w:p>
      <w:r>
        <w:rPr>
          <w:b/>
        </w:rPr>
        <w:t xml:space="preserve">• </w:t>
      </w:r>
      <w:r>
        <w:t>Do not reopen MADCR-011 or other approved decisions because Batch-0 residuals remain.</w:t>
      </w:r>
    </w:p>
    <w:p>
      <w:r>
        <w:rPr>
          <w:b/>
        </w:rPr>
        <w:t xml:space="preserve">• </w:t>
      </w:r>
      <w:r>
        <w:t>Proceed with Batch-1 and Batch-2 status verification while tracking Batch-0 residuals explicitly.</w:t>
      </w:r>
    </w:p>
    <w:p>
      <w:r>
        <w:rPr>
          <w:b/>
        </w:rPr>
        <w:t xml:space="preserve">• </w:t>
      </w:r>
      <w:r>
        <w:t>Canonicalize/document the residual Batch-0 items where the project artifacts are available, then update the Master Batch Matrix rather than creating another architecture decision.</w:t>
      </w:r>
    </w:p>
    <w:p>
      <w:pPr>
        <w:pStyle w:val="Heading1"/>
      </w:pPr>
      <w:r>
        <w:t>7. Batch-0 Gate Status</w:t>
      </w:r>
    </w:p>
    <w:p>
      <w:r>
        <w:rPr>
          <w:b/>
        </w:rPr>
        <w:t xml:space="preserve">• </w:t>
      </w:r>
      <w:r>
        <w:t>Decision work: NOT APPLICABLE for G/F items.</w:t>
      </w:r>
    </w:p>
    <w:p>
      <w:r>
        <w:rPr>
          <w:b/>
        </w:rPr>
        <w:t xml:space="preserve">• </w:t>
      </w:r>
      <w:r>
        <w:t>Governance readiness: PASS.</w:t>
      </w:r>
    </w:p>
    <w:p>
      <w:r>
        <w:rPr>
          <w:b/>
        </w:rPr>
        <w:t xml:space="preserve">• </w:t>
      </w:r>
      <w:r>
        <w:t>Canonicalization: PARTIAL.</w:t>
      </w:r>
    </w:p>
    <w:p>
      <w:r>
        <w:rPr>
          <w:b/>
        </w:rPr>
        <w:t xml:space="preserve">• </w:t>
      </w:r>
      <w:r>
        <w:t>Residual governance: OPEN / NON-BLOCKING.</w:t>
      </w:r>
    </w:p>
    <w:p>
      <w:r>
        <w:rPr>
          <w:b/>
        </w:rPr>
        <w:t xml:space="preserve">• </w:t>
      </w:r>
      <w:r>
        <w:t>Overall Batch-0 status: READY WITH RESIDUALS — not fully 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