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Batch-1 Downstream Impact &amp; Alignment Audit</w:t>
      </w:r>
    </w:p>
    <w:p>
      <w:pPr>
        <w:jc w:val="center"/>
      </w:pPr>
      <w:r>
        <w:rPr>
          <w:i/>
        </w:rPr>
        <w:t>v1.0 — Evidence-First Architecture Alignment Gate</w:t>
      </w:r>
    </w:p>
    <w:p>
      <w:pPr>
        <w:pStyle w:val="Heading1"/>
      </w:pPr>
      <w:r>
        <w:t>1. Audit Objective</w:t>
      </w:r>
    </w:p>
    <w:p>
      <w:r>
        <w:rPr>
          <w:b/>
        </w:rPr>
        <w:t xml:space="preserve">• </w:t>
      </w:r>
      <w:r>
        <w:t>Audit whether approved Batch-1 architecture decisions have been translated consistently into downstream architecture boundaries before Batch-2/ERD work proceeds.</w:t>
      </w:r>
    </w:p>
    <w:p>
      <w:r>
        <w:rPr>
          <w:b/>
        </w:rPr>
        <w:t xml:space="preserve">• </w:t>
      </w:r>
      <w:r>
        <w:t>This audit is intentionally symmetrical with the Batch-2 downstream impact/alignment process.</w:t>
      </w:r>
    </w:p>
    <w:p>
      <w:r>
        <w:rPr>
          <w:b/>
        </w:rPr>
        <w:t xml:space="preserve">• </w:t>
      </w:r>
      <w:r>
        <w:t>It does not approve or modify ERD, API, RBAC/RLS, schema, migration, or implementation.</w:t>
      </w:r>
    </w:p>
    <w:p>
      <w:pPr>
        <w:pStyle w:val="Heading1"/>
      </w:pPr>
      <w:r>
        <w:t>2. Governing Batch-1 Baseline</w:t>
      </w:r>
    </w:p>
    <w:p>
      <w:r>
        <w:rPr>
          <w:b/>
        </w:rPr>
        <w:t xml:space="preserve">• </w:t>
      </w:r>
      <w:r>
        <w:t>CR-06 ACTIVE.</w:t>
      </w:r>
    </w:p>
    <w:p>
      <w:r>
        <w:rPr>
          <w:b/>
        </w:rPr>
        <w:t xml:space="preserve">• </w:t>
      </w:r>
      <w:r>
        <w:t>MADCR-036, MADCR-037, MADCR-041, MADCR-046, MADCR-010 and MADCR-011 are APPROVED / GOVERNING.</w:t>
      </w:r>
    </w:p>
    <w:p>
      <w:r>
        <w:rPr>
          <w:b/>
        </w:rPr>
        <w:t xml:space="preserve">• </w:t>
      </w:r>
      <w:r>
        <w:t>MAEDR Batch-1 v1.3 records MADCR-011 as the final Gate-1 boundary and states downstream ERD → API → RBAC/RLS → migration → implementation must remain consistent with ADR-011.</w:t>
      </w:r>
    </w:p>
    <w:p>
      <w:r>
        <w:rPr>
          <w:b/>
        </w:rPr>
        <w:t xml:space="preserve">• </w:t>
      </w:r>
      <w:r>
        <w:t>MAEDR Batch-1 v1.2 records MADCR-010 as the governing Commercial Entitlement → quota authority boundary.</w:t>
      </w:r>
    </w:p>
    <w:p>
      <w:pPr>
        <w:pStyle w:val="Heading1"/>
      </w:pPr>
      <w:r>
        <w:t>3. Impact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Decision / Item</w:t>
            </w:r>
          </w:p>
        </w:tc>
        <w:tc>
          <w:tcPr>
            <w:tcW w:type="dxa" w:w="1728"/>
          </w:tcPr>
          <w:p>
            <w:r>
              <w:t>Governing Boundary</w:t>
            </w:r>
          </w:p>
        </w:tc>
        <w:tc>
          <w:tcPr>
            <w:tcW w:type="dxa" w:w="1728"/>
          </w:tcPr>
          <w:p>
            <w:r>
              <w:t>Required Downstream Alignment</w:t>
            </w:r>
          </w:p>
        </w:tc>
        <w:tc>
          <w:tcPr>
            <w:tcW w:type="dxa" w:w="1728"/>
          </w:tcPr>
          <w:p>
            <w:r>
              <w:t>Caveat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MADCR-036</w:t>
            </w:r>
          </w:p>
        </w:tc>
        <w:tc>
          <w:tcPr>
            <w:tcW w:type="dxa" w:w="1728"/>
            <w:vAlign w:val="top"/>
          </w:tcPr>
          <w:p>
            <w:r>
              <w:t>Title Definition / Award Instance separation</w:t>
            </w:r>
          </w:p>
        </w:tc>
        <w:tc>
          <w:tcPr>
            <w:tcW w:type="dxa" w:w="1728"/>
            <w:vAlign w:val="top"/>
          </w:tcPr>
          <w:p>
            <w:r>
              <w:t>Awarding/credential downstream model must keep Title Definition and Award Instance separate.</w:t>
            </w:r>
          </w:p>
        </w:tc>
        <w:tc>
          <w:tcPr>
            <w:tcW w:type="dxa" w:w="1728"/>
            <w:vAlign w:val="top"/>
          </w:tcPr>
          <w:p>
            <w:r>
              <w:t>Exact current ERD/API entity mapping not verified in this pass.</w:t>
            </w:r>
          </w:p>
        </w:tc>
        <w:tc>
          <w:tcPr>
            <w:tcW w:type="dxa" w:w="1728"/>
            <w:vAlign w:val="top"/>
          </w:tcPr>
          <w:p>
            <w:r>
              <w:t>Governing; evidence gap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MADCR-037</w:t>
            </w:r>
          </w:p>
        </w:tc>
        <w:tc>
          <w:tcPr>
            <w:tcW w:type="dxa" w:w="1728"/>
            <w:vAlign w:val="top"/>
          </w:tcPr>
          <w:p>
            <w:r>
              <w:t>Awarding Path versioning</w:t>
            </w:r>
          </w:p>
        </w:tc>
        <w:tc>
          <w:tcPr>
            <w:tcW w:type="dxa" w:w="1728"/>
            <w:vAlign w:val="top"/>
          </w:tcPr>
          <w:p>
            <w:r>
              <w:t>Preserve Title Identity → Awarding Path Version → Awarding Rule Version → Award Instance provenance; used versions immutable/historically retained.</w:t>
            </w:r>
          </w:p>
        </w:tc>
        <w:tc>
          <w:tcPr>
            <w:tcW w:type="dxa" w:w="1728"/>
            <w:vAlign w:val="top"/>
          </w:tcPr>
          <w:p>
            <w:r>
              <w:t>Exact physical representation and API contract remain downstream; current ERD/API not retrieved.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MADCR-041</w:t>
            </w:r>
          </w:p>
        </w:tc>
        <w:tc>
          <w:tcPr>
            <w:tcW w:type="dxa" w:w="1728"/>
            <w:vAlign w:val="top"/>
          </w:tcPr>
          <w:p>
            <w:r>
              <w:t>Awarding Rule versioning</w:t>
            </w:r>
          </w:p>
        </w:tc>
        <w:tc>
          <w:tcPr>
            <w:tcW w:type="dxa" w:w="1728"/>
            <w:vAlign w:val="top"/>
          </w:tcPr>
          <w:p>
            <w:r>
              <w:t>Rule Version remains a distinct version boundary from Path Version; historical binding and immutability invariants preserved.</w:t>
            </w:r>
          </w:p>
        </w:tc>
        <w:tc>
          <w:tcPr>
            <w:tcW w:type="dxa" w:w="1728"/>
            <w:vAlign w:val="top"/>
          </w:tcPr>
          <w:p>
            <w:r>
              <w:t>Exact current ERD/API mapping not verified.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MADCR-046</w:t>
            </w:r>
          </w:p>
        </w:tc>
        <w:tc>
          <w:tcPr>
            <w:tcW w:type="dxa" w:w="1728"/>
            <w:vAlign w:val="top"/>
          </w:tcPr>
          <w:p>
            <w:r>
              <w:t>Certificate/Credential ≠ Title/Award Instance</w:t>
            </w:r>
          </w:p>
        </w:tc>
        <w:tc>
          <w:tcPr>
            <w:tcW w:type="dxa" w:w="1728"/>
            <w:vAlign w:val="top"/>
          </w:tcPr>
          <w:p>
            <w:r>
              <w:t>Existing M04 certificates must not automatically become, be converted into, or be repurposed as M15 Award Instances.</w:t>
            </w:r>
          </w:p>
        </w:tc>
        <w:tc>
          <w:tcPr>
            <w:tcW w:type="dxa" w:w="1728"/>
            <w:vAlign w:val="top"/>
          </w:tcPr>
          <w:p>
            <w:r>
              <w:t>Future relationship/reference mechanism explicitly remains downstream.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MADCR-010</w:t>
            </w:r>
          </w:p>
        </w:tc>
        <w:tc>
          <w:tcPr>
            <w:tcW w:type="dxa" w:w="1728"/>
            <w:vAlign w:val="top"/>
          </w:tcPr>
          <w:p>
            <w:r>
              <w:t>Commercial Entitlement → Agency/Organization Quota Capacity</w:t>
            </w:r>
          </w:p>
        </w:tc>
        <w:tc>
          <w:tcPr>
            <w:tcW w:type="dxa" w:w="1728"/>
            <w:vAlign w:val="top"/>
          </w:tcPr>
          <w:p>
            <w:r>
              <w:t>Commercial Entitlement remains authoritative; quota capacity derives from it; allocation ≠ usage; Entitlement ≠ Subscription ≠ RBAC.</w:t>
            </w:r>
          </w:p>
        </w:tc>
        <w:tc>
          <w:tcPr>
            <w:tcW w:type="dxa" w:w="1728"/>
            <w:vAlign w:val="top"/>
          </w:tcPr>
          <w:p>
            <w:r>
              <w:t>Approval notes MBR-COM-001–013 were not found; source caveat remains.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MADCR-011</w:t>
            </w:r>
          </w:p>
        </w:tc>
        <w:tc>
          <w:tcPr>
            <w:tcW w:type="dxa" w:w="1728"/>
            <w:vAlign w:val="top"/>
          </w:tcPr>
          <w:p>
            <w:r>
              <w:t>Payment = M14 Commercial Payment Subdomain</w:t>
            </w:r>
          </w:p>
        </w:tc>
        <w:tc>
          <w:tcPr>
            <w:tcW w:type="dxa" w:w="1728"/>
            <w:vAlign w:val="top"/>
          </w:tcPr>
          <w:p>
            <w:r>
              <w:t>Payment must be inside M14 with internal Payment boundary; M16 is not approved.</w:t>
            </w:r>
          </w:p>
        </w:tc>
        <w:tc>
          <w:tcPr>
            <w:tcW w:type="dxa" w:w="1728"/>
            <w:vAlign w:val="top"/>
          </w:tcPr>
          <w:p>
            <w:r>
              <w:t>Current ERD/API not inspected, so physical alignment is not verified.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CR-01 / DISC-06</w:t>
            </w:r>
          </w:p>
        </w:tc>
        <w:tc>
          <w:tcPr>
            <w:tcW w:type="dxa" w:w="1728"/>
            <w:vAlign w:val="top"/>
          </w:tcPr>
          <w:p>
            <w:r>
              <w:t>Historical MADCR-046 → MADCR-036 blocking claim</w:t>
            </w:r>
          </w:p>
        </w:tc>
        <w:tc>
          <w:tcPr>
            <w:tcW w:type="dxa" w:w="1728"/>
            <w:vAlign w:val="top"/>
          </w:tcPr>
          <w:p>
            <w:r>
              <w:t>No longer an active architecture blocker; canonicalize dependency documentation.</w:t>
            </w:r>
          </w:p>
        </w:tc>
        <w:tc>
          <w:tcPr>
            <w:tcW w:type="dxa" w:w="1728"/>
            <w:vAlign w:val="top"/>
          </w:tcPr>
          <w:p>
            <w:r>
              <w:t>Does not reopen MADCR-036 or MADCR-046.</w:t>
            </w:r>
          </w:p>
        </w:tc>
        <w:tc>
          <w:tcPr>
            <w:tcW w:type="dxa" w:w="1728"/>
            <w:vAlign w:val="top"/>
          </w:tcPr>
          <w:p>
            <w:r>
              <w:t>Reconciled / hygiene</w:t>
            </w:r>
          </w:p>
        </w:tc>
      </w:tr>
      <w:tr>
        <w:tc>
          <w:tcPr>
            <w:tcW w:type="dxa" w:w="1728"/>
            <w:vAlign w:val="top"/>
          </w:tcPr>
          <w:p>
            <w:r>
              <w:t>OPEN-C01 / MADCR-012</w:t>
            </w:r>
          </w:p>
        </w:tc>
        <w:tc>
          <w:tcPr>
            <w:tcW w:type="dxa" w:w="1728"/>
            <w:vAlign w:val="top"/>
          </w:tcPr>
          <w:p>
            <w:r>
              <w:t>AEP-MON-001 vs AEP-MON-002 relationship</w:t>
            </w:r>
          </w:p>
        </w:tc>
        <w:tc>
          <w:tcPr>
            <w:tcW w:type="dxa" w:w="1728"/>
            <w:vAlign w:val="top"/>
          </w:tcPr>
          <w:p>
            <w:r>
              <w:t>Remain disclosed; no supersession/hierarchy inferred.</w:t>
            </w:r>
          </w:p>
        </w:tc>
        <w:tc>
          <w:tcPr>
            <w:tcW w:type="dxa" w:w="1728"/>
            <w:vAlign w:val="top"/>
          </w:tcPr>
          <w:p>
            <w:r>
              <w:t>Does not invalidate MADCR-011, but remains open governance.</w:t>
            </w:r>
          </w:p>
        </w:tc>
        <w:tc>
          <w:tcPr>
            <w:tcW w:type="dxa" w:w="1728"/>
            <w:vAlign w:val="top"/>
          </w:tcPr>
          <w:p>
            <w:r>
              <w:t>Open / non-blocking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MADCR-049</w:t>
            </w:r>
          </w:p>
        </w:tc>
        <w:tc>
          <w:tcPr>
            <w:tcW w:type="dxa" w:w="1728"/>
            <w:vAlign w:val="top"/>
          </w:tcPr>
          <w:p>
            <w:r>
              <w:t>Learning Activity evidence recovery/re-evaluation</w:t>
            </w:r>
          </w:p>
        </w:tc>
        <w:tc>
          <w:tcPr>
            <w:tcW w:type="dxa" w:w="1728"/>
            <w:vAlign w:val="top"/>
          </w:tcPr>
          <w:p>
            <w:r>
              <w:t>Independent learning governance item; not silently resolved here.</w:t>
            </w:r>
          </w:p>
        </w:tc>
        <w:tc>
          <w:tcPr>
            <w:tcW w:type="dxa" w:w="1728"/>
            <w:vAlign w:val="top"/>
          </w:tcPr>
          <w:p>
            <w:r>
              <w:t>No evidence here supports closing it.</w:t>
            </w:r>
          </w:p>
        </w:tc>
        <w:tc>
          <w:tcPr>
            <w:tcW w:type="dxa" w:w="1728"/>
            <w:vAlign w:val="top"/>
          </w:tcPr>
          <w:p>
            <w:r>
              <w:t>Open / independent</w:t>
            </w:r>
          </w:p>
        </w:tc>
      </w:tr>
      <w:tr>
        <w:tc>
          <w:tcPr>
            <w:tcW w:type="dxa" w:w="1728"/>
            <w:vAlign w:val="top"/>
          </w:tcPr>
          <w:p>
            <w:r>
              <w:t>DISC-08 / CR-04</w:t>
            </w:r>
          </w:p>
        </w:tc>
        <w:tc>
          <w:tcPr>
            <w:tcW w:type="dxa" w:w="1728"/>
            <w:vAlign w:val="top"/>
          </w:tcPr>
          <w:p>
            <w:r>
              <w:t>Dependency-field canonicalization</w:t>
            </w:r>
          </w:p>
        </w:tc>
        <w:tc>
          <w:tcPr>
            <w:tcW w:type="dxa" w:w="1728"/>
            <w:vAlign w:val="top"/>
          </w:tcPr>
          <w:p>
            <w:r>
              <w:t>Must be canonicalized; no silent architecture changes.</w:t>
            </w:r>
          </w:p>
        </w:tc>
        <w:tc>
          <w:tcPr>
            <w:tcW w:type="dxa" w:w="1728"/>
            <w:vAlign w:val="top"/>
          </w:tcPr>
          <w:p>
            <w:r>
              <w:t>No architecture decision reopened.</w:t>
            </w:r>
          </w:p>
        </w:tc>
        <w:tc>
          <w:tcPr>
            <w:tcW w:type="dxa" w:w="1728"/>
            <w:vAlign w:val="top"/>
          </w:tcPr>
          <w:p>
            <w:r>
              <w:t>Open / hygiene</w:t>
            </w:r>
          </w:p>
        </w:tc>
      </w:tr>
    </w:tbl>
    <w:p>
      <w:pPr>
        <w:pStyle w:val="Heading1"/>
      </w:pPr>
      <w:r>
        <w:t>4. Confirmed Cross-Decision Alignment</w:t>
      </w:r>
    </w:p>
    <w:p>
      <w:r>
        <w:rPr>
          <w:b/>
        </w:rPr>
        <w:t xml:space="preserve">• </w:t>
      </w:r>
      <w:r>
        <w:t>MADCR-036, MADCR-037 and MADCR-041 form a coherent awarding provenance/versioning cluster. MADCR-037 explicitly defines Title Identity → Awarding Path Version → Awarding Rule Version → Award Instance and keeps Path and Rule version boundaries separate.</w:t>
      </w:r>
    </w:p>
    <w:p>
      <w:r>
        <w:rPr>
          <w:b/>
        </w:rPr>
        <w:t xml:space="preserve">• </w:t>
      </w:r>
      <w:r>
        <w:t>MADCR-046 reinforces separation between existing M04 Certificate/Credential and M15 Title/Award Instance; it does not contradict MADCR-036/037/041.</w:t>
      </w:r>
    </w:p>
    <w:p>
      <w:r>
        <w:rPr>
          <w:b/>
        </w:rPr>
        <w:t xml:space="preserve">• </w:t>
      </w:r>
      <w:r>
        <w:t>MADCR-010 establishes Commercial Entitlement as the authoritative source for Agency/Organization quota capacity and keeps Entitlement distinct from Subscription and RBAC.</w:t>
      </w:r>
    </w:p>
    <w:p>
      <w:r>
        <w:rPr>
          <w:b/>
        </w:rPr>
        <w:t xml:space="preserve">• </w:t>
      </w:r>
      <w:r>
        <w:t>MADCR-011 explicitly records MADCR-036/037/041/046 as unchanged and compatible while placing Payment within M14 Commercial.</w:t>
      </w:r>
    </w:p>
    <w:p>
      <w:pPr>
        <w:pStyle w:val="Heading1"/>
      </w:pPr>
      <w:r>
        <w:t>5. Current-State Evidence Assessment</w:t>
      </w:r>
    </w:p>
    <w:p>
      <w:r>
        <w:rPr>
          <w:b/>
        </w:rPr>
        <w:t xml:space="preserve">• </w:t>
      </w:r>
      <w:r>
        <w:t>System Architecture/User Flow/PRD evidence exists in the File Library and provides the general downstream document hierarchy and current role/module baseline, but the exact current ERD and API artifacts were not retrieved in this evidence pass.</w:t>
      </w:r>
    </w:p>
    <w:p>
      <w:r>
        <w:rPr>
          <w:b/>
        </w:rPr>
        <w:t xml:space="preserve">• </w:t>
      </w:r>
      <w:r>
        <w:t>Therefore no entity-level, relationship-level, endpoint-level, or permission-level conflict is asserted.</w:t>
      </w:r>
    </w:p>
    <w:p>
      <w:r>
        <w:rPr>
          <w:b/>
        </w:rPr>
        <w:t xml:space="preserve">• </w:t>
      </w:r>
      <w:r>
        <w:t>The absence of retrieved ERD/API content is an evidence gap, not evidence that the current baseline is aligned.</w:t>
      </w:r>
    </w:p>
    <w:p>
      <w:r>
        <w:rPr>
          <w:b/>
        </w:rPr>
        <w:t xml:space="preserve">• </w:t>
      </w:r>
      <w:r>
        <w:t>Payment-specific RBAC impact remains part of the Batch-2 downstream review; Batch-1 audit establishes that existing RBAC must not contradict Entitlement ≠ RBAC and the approved boundaries.</w:t>
      </w:r>
    </w:p>
    <w:p>
      <w:pPr>
        <w:pStyle w:val="Heading1"/>
      </w:pPr>
      <w:r>
        <w:t>6. Residual Governance Treatment</w:t>
      </w:r>
    </w:p>
    <w:p>
      <w:r>
        <w:rPr>
          <w:b/>
        </w:rPr>
        <w:t xml:space="preserve">• </w:t>
      </w:r>
      <w:r>
        <w:t>CR-01/DISC-06 is reconciled as dependency/documentation hygiene; it is no longer an active blocker against MADCR-036.</w:t>
      </w:r>
    </w:p>
    <w:p>
      <w:r>
        <w:rPr>
          <w:b/>
        </w:rPr>
        <w:t xml:space="preserve">• </w:t>
      </w:r>
      <w:r>
        <w:t>OPEN-C01/MADCR-012 remains open and is not silently closed.</w:t>
      </w:r>
    </w:p>
    <w:p>
      <w:r>
        <w:rPr>
          <w:b/>
        </w:rPr>
        <w:t xml:space="preserve">• </w:t>
      </w:r>
      <w:r>
        <w:t>MADCR-049 remains evidence-recovery/re-evaluation work.</w:t>
      </w:r>
    </w:p>
    <w:p>
      <w:r>
        <w:rPr>
          <w:b/>
        </w:rPr>
        <w:t xml:space="preserve">• </w:t>
      </w:r>
      <w:r>
        <w:t>DISC-08/CR-04 remains dependency-register hygiene.</w:t>
      </w:r>
    </w:p>
    <w:p>
      <w:r>
        <w:rPr>
          <w:b/>
        </w:rPr>
        <w:t xml:space="preserve">• </w:t>
      </w:r>
      <w:r>
        <w:t>None of these residuals is silently promoted to CLOSED by this audit.</w:t>
      </w:r>
    </w:p>
    <w:p>
      <w:pPr>
        <w:pStyle w:val="Heading1"/>
      </w:pPr>
      <w:r>
        <w:t>7. Gate Result</w:t>
      </w:r>
    </w:p>
    <w:p>
      <w:r>
        <w:rPr>
          <w:b/>
        </w:rPr>
        <w:t xml:space="preserve">• </w:t>
      </w:r>
      <w:r>
        <w:t>ARCHITECTURE COHERENCE: PASS.</w:t>
      </w:r>
    </w:p>
    <w:p>
      <w:r>
        <w:rPr>
          <w:b/>
        </w:rPr>
        <w:t xml:space="preserve">• </w:t>
      </w:r>
      <w:r>
        <w:t>DECISION-TO-DECISION CONSISTENCY: PASS.</w:t>
      </w:r>
    </w:p>
    <w:p>
      <w:r>
        <w:rPr>
          <w:b/>
        </w:rPr>
        <w:t xml:space="preserve">• </w:t>
      </w:r>
      <w:r>
        <w:t>RESIDUAL GOVERNANCE DISCLOSURE: PASS.</w:t>
      </w:r>
    </w:p>
    <w:p>
      <w:r>
        <w:rPr>
          <w:b/>
        </w:rPr>
        <w:t xml:space="preserve">• </w:t>
      </w:r>
      <w:r>
        <w:t>CURRENT ERD/API ALIGNMENT: NOT VERIFIED.</w:t>
      </w:r>
    </w:p>
    <w:p>
      <w:r>
        <w:rPr>
          <w:b/>
        </w:rPr>
        <w:t xml:space="preserve">• </w:t>
      </w:r>
      <w:r>
        <w:t>CURRENT RBAC ALIGNMENT: PARTIAL / NOT payment-specific.</w:t>
      </w:r>
    </w:p>
    <w:p>
      <w:r>
        <w:rPr>
          <w:b/>
        </w:rPr>
        <w:t xml:space="preserve">• </w:t>
      </w:r>
      <w:r>
        <w:t>PHYSICAL/DOWNSTREAM SYNCHRONIZATION AUTHORIZATION: NOT GRANTED.</w:t>
      </w:r>
    </w:p>
    <w:p>
      <w:r>
        <w:rPr>
          <w:b/>
        </w:rPr>
        <w:t xml:space="preserve">• </w:t>
      </w:r>
      <w:r>
        <w:t>BATCH-1 IMPACT &amp; ALIGNMENT GATE: HOLD pending exact current ERD/API evidence.</w:t>
      </w:r>
    </w:p>
    <w:p>
      <w:pPr>
        <w:pStyle w:val="Heading1"/>
      </w:pPr>
      <w:r>
        <w:t>8. Lead Decision</w:t>
      </w:r>
    </w:p>
    <w:p>
      <w:r>
        <w:rPr>
          <w:b/>
        </w:rPr>
        <w:t xml:space="preserve">• </w:t>
      </w:r>
      <w:r>
        <w:t>Batch 1 does require an Impact &amp; Alignment Review, and this v1.0 audit formally establishes that requirement and the governing invariants.</w:t>
      </w:r>
    </w:p>
    <w:p>
      <w:r>
        <w:rPr>
          <w:b/>
        </w:rPr>
        <w:t xml:space="preserve">• </w:t>
      </w:r>
      <w:r>
        <w:t>Batch 1 architecture is coherent; the remaining hold is evidence-based downstream verification, not a new architecture blocker.</w:t>
      </w:r>
    </w:p>
    <w:p>
      <w:r>
        <w:rPr>
          <w:b/>
        </w:rPr>
        <w:t xml:space="preserve">• </w:t>
      </w:r>
      <w:r>
        <w:t>Do not reopen MADCR-036/037/041/046/010/011 because of missing ERD/API evidence.</w:t>
      </w:r>
    </w:p>
    <w:p>
      <w:r>
        <w:rPr>
          <w:b/>
        </w:rPr>
        <w:t xml:space="preserve">• </w:t>
      </w:r>
      <w:r>
        <w:t>Do not create an ERD delta from assumptions.</w:t>
      </w:r>
    </w:p>
    <w:p>
      <w:r>
        <w:rPr>
          <w:b/>
        </w:rPr>
        <w:t xml:space="preserve">• </w:t>
      </w:r>
      <w:r>
        <w:t>Next action is to complete the same current-state evidence pack for Batch 1: exact ERD, API, and dedicated RBAC/permission material where applicable, then issue Batch-1 Downstream Impact &amp; Alignment Review v1.1.</w:t>
      </w:r>
    </w:p>
    <w:p>
      <w:pPr>
        <w:pStyle w:val="Heading1"/>
      </w:pPr>
      <w:r>
        <w:t>9. Batch-1 Status After This Audit</w:t>
      </w:r>
    </w:p>
    <w:p>
      <w:r>
        <w:rPr>
          <w:b/>
        </w:rPr>
        <w:t xml:space="preserve">• </w:t>
      </w:r>
      <w:r>
        <w:t>Decision Closure: COMPLETE.</w:t>
      </w:r>
    </w:p>
    <w:p>
      <w:r>
        <w:rPr>
          <w:b/>
        </w:rPr>
        <w:t xml:space="preserve">• </w:t>
      </w:r>
      <w:r>
        <w:t>Post-Approval Reconciliation: COMPLETE through MAEDR Batch-1 v1.3.</w:t>
      </w:r>
    </w:p>
    <w:p>
      <w:r>
        <w:rPr>
          <w:b/>
        </w:rPr>
        <w:t xml:space="preserve">• </w:t>
      </w:r>
      <w:r>
        <w:t>Architecture Cluster Coherence: PASS.</w:t>
      </w:r>
    </w:p>
    <w:p>
      <w:r>
        <w:rPr>
          <w:b/>
        </w:rPr>
        <w:t xml:space="preserve">• </w:t>
      </w:r>
      <w:r>
        <w:t>Downstream Impact &amp; Alignment: HOLD pending evidence completion.</w:t>
      </w:r>
    </w:p>
    <w:p>
      <w:r>
        <w:rPr>
          <w:b/>
        </w:rPr>
        <w:t xml:space="preserve">• </w:t>
      </w:r>
      <w:r>
        <w:t>Batch-1 Overall Closure: NOT YET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