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Commercial &amp; Payment Domain Model Alignment Baseline</w:t>
      </w:r>
    </w:p>
    <w:p>
      <w:pPr>
        <w:jc w:val="center"/>
      </w:pPr>
      <w:r>
        <w:rPr>
          <w:i/>
        </w:rPr>
        <w:t>v1.0 — Governance-Aligned Logical Model / NOT ERD</w:t>
      </w:r>
    </w:p>
    <w:p>
      <w:pPr>
        <w:pStyle w:val="Heading1"/>
      </w:pPr>
      <w:r>
        <w:t>1. Purpose</w:t>
      </w:r>
    </w:p>
    <w:p>
      <w:r>
        <w:rPr>
          <w:b/>
        </w:rPr>
        <w:t xml:space="preserve">• </w:t>
      </w:r>
      <w:r>
        <w:t>This artifact is a governance-aligned logical domain-model baseline for the Commercial domain and its Payment subdomain.</w:t>
      </w:r>
    </w:p>
    <w:p>
      <w:r>
        <w:rPr>
          <w:b/>
        </w:rPr>
        <w:t xml:space="preserve">• </w:t>
      </w:r>
      <w:r>
        <w:t>It translates only the approved architectural boundaries into domain concepts and relationships. It does not define physical tables, foreign keys, API contracts, RBAC/RLS, migrations, or implementation.</w:t>
      </w:r>
    </w:p>
    <w:p>
      <w:pPr>
        <w:pStyle w:val="Heading1"/>
      </w:pPr>
      <w:r>
        <w:t>2. Governing Evidence</w:t>
      </w:r>
    </w:p>
    <w:p>
      <w:r>
        <w:rPr>
          <w:b/>
        </w:rPr>
        <w:t xml:space="preserve">• </w:t>
      </w:r>
      <w:r>
        <w:t>MADCR-011: Payment is a subdomain within Commercial (M14), not a separate M16 module.</w:t>
      </w:r>
    </w:p>
    <w:p>
      <w:r>
        <w:rPr>
          <w:b/>
        </w:rPr>
        <w:t xml:space="preserve">• </w:t>
      </w:r>
      <w:r>
        <w:t>MADCR-010: Commercial Entitlement remains authoritative for Agency/Organization quota capacity.</w:t>
      </w:r>
    </w:p>
    <w:p>
      <w:r>
        <w:rPr>
          <w:b/>
        </w:rPr>
        <w:t xml:space="preserve">• </w:t>
      </w:r>
      <w:r>
        <w:t>MADCR-002: Payment Core remains provider-independent and provider-specific integration stays behind a Provider Adapter Boundary.</w:t>
      </w:r>
    </w:p>
    <w:p>
      <w:r>
        <w:rPr>
          <w:b/>
        </w:rPr>
        <w:t xml:space="preserve">• </w:t>
      </w:r>
      <w:r>
        <w:t>MADCR-003: Payment fulfillment requires verified payment confirmation and idempotent processing.</w:t>
      </w:r>
    </w:p>
    <w:p>
      <w:r>
        <w:rPr>
          <w:b/>
        </w:rPr>
        <w:t xml:space="preserve">• </w:t>
      </w:r>
      <w:r>
        <w:t>MADCR-005: Payment Reconciliation is a first-class capability for detecting and auditing cross-state inconsistencies.</w:t>
      </w:r>
    </w:p>
    <w:p>
      <w:r>
        <w:rPr>
          <w:b/>
        </w:rPr>
        <w:t xml:space="preserve">• </w:t>
      </w:r>
      <w:r>
        <w:t>AEP Monetization identifies the conceptual flow Commercial Domain → Order → Payment Core → Provider Adapter(s) → Verified Payment → Fulfillment → Entitlement → Quota / Product Access.</w:t>
      </w:r>
    </w:p>
    <w:p>
      <w:pPr>
        <w:pStyle w:val="Heading1"/>
      </w:pPr>
      <w:r>
        <w:t>3. Logical Commercial Structure</w:t>
      </w:r>
    </w:p>
    <w:p>
      <w:r>
        <w:rPr>
          <w:b/>
        </w:rPr>
        <w:t xml:space="preserve">• </w:t>
      </w:r>
      <w:r>
        <w:t>M14 Commercial is the top-level ownership boundary.</w:t>
      </w:r>
    </w:p>
    <w:p>
      <w:r>
        <w:rPr>
          <w:b/>
        </w:rPr>
        <w:t xml:space="preserve">• </w:t>
      </w:r>
      <w:r>
        <w:t>Within M14, the current source-supported concepts include Subscription, Promotion, Entitlement, Checkout / Order, and Payment Subdomain.</w:t>
      </w:r>
    </w:p>
    <w:p>
      <w:r>
        <w:rPr>
          <w:b/>
        </w:rPr>
        <w:t xml:space="preserve">• </w:t>
      </w:r>
      <w:r>
        <w:t>Payment Subdomain contains the logical Payment Core and Provider Adapter Boundary.</w:t>
      </w:r>
    </w:p>
    <w:p>
      <w:r>
        <w:rPr>
          <w:b/>
        </w:rPr>
        <w:t xml:space="preserve">• </w:t>
      </w:r>
      <w:r>
        <w:t>Payment is not modeled as a separate top-level M16 module.</w:t>
      </w:r>
    </w:p>
    <w:p>
      <w:pPr>
        <w:pStyle w:val="Heading1"/>
      </w:pPr>
      <w:r>
        <w:t>4. Logical Payment Structure</w:t>
      </w:r>
    </w:p>
    <w:p>
      <w:r>
        <w:rPr>
          <w:b/>
        </w:rPr>
        <w:t xml:space="preserve">• </w:t>
      </w:r>
      <w:r>
        <w:t>Payment Core is the provider-independent payment capability.</w:t>
      </w:r>
    </w:p>
    <w:p>
      <w:r>
        <w:rPr>
          <w:b/>
        </w:rPr>
        <w:t xml:space="preserve">• </w:t>
      </w:r>
      <w:r>
        <w:t>Provider Adapter Boundary isolates provider-specific integration.</w:t>
      </w:r>
    </w:p>
    <w:p>
      <w:r>
        <w:rPr>
          <w:b/>
        </w:rPr>
        <w:t xml:space="preserve">• </w:t>
      </w:r>
      <w:r>
        <w:t>Provider Gateway/Provider is an external integration participant, not a replacement for the Payment Core domain.</w:t>
      </w:r>
    </w:p>
    <w:p>
      <w:r>
        <w:rPr>
          <w:b/>
        </w:rPr>
        <w:t xml:space="preserve">• </w:t>
      </w:r>
      <w:r>
        <w:t>Verification and Idempotency form a logical trust-processing boundary before commercial fulfillment.</w:t>
      </w:r>
    </w:p>
    <w:p>
      <w:r>
        <w:rPr>
          <w:b/>
        </w:rPr>
        <w:t xml:space="preserve">• </w:t>
      </w:r>
      <w:r>
        <w:t>Reconciliation is a first-class capability that assesses consistency across payment/commercial states.</w:t>
      </w:r>
    </w:p>
    <w:p>
      <w:pPr>
        <w:pStyle w:val="Heading1"/>
      </w:pPr>
      <w:r>
        <w:t>5. Core Logical Concepts</w:t>
      </w:r>
    </w:p>
    <w:p>
      <w:r>
        <w:rPr>
          <w:b/>
        </w:rPr>
        <w:t xml:space="preserve">Commercial — </w:t>
      </w:r>
      <w:r>
        <w:t>Top-level M14 ownership boundary.</w:t>
      </w:r>
    </w:p>
    <w:p>
      <w:r>
        <w:rPr>
          <w:b/>
        </w:rPr>
        <w:t xml:space="preserve">Subscription — </w:t>
      </w:r>
      <w:r>
        <w:t>Commercial state/capability for plan/subscription lifecycle; remains distinct from Entitlement.</w:t>
      </w:r>
    </w:p>
    <w:p>
      <w:r>
        <w:rPr>
          <w:b/>
        </w:rPr>
        <w:t xml:space="preserve">Promotion — </w:t>
      </w:r>
      <w:r>
        <w:t>Commercial promotion terms/configuration; historical purchase terms must remain traceable.</w:t>
      </w:r>
    </w:p>
    <w:p>
      <w:r>
        <w:rPr>
          <w:b/>
        </w:rPr>
        <w:t xml:space="preserve">Add-on — </w:t>
      </w:r>
      <w:r>
        <w:t>Commercial purchasable/entitlement-related capability; permanent and promotional validity remain distinct.</w:t>
      </w:r>
    </w:p>
    <w:p>
      <w:r>
        <w:rPr>
          <w:b/>
        </w:rPr>
        <w:t xml:space="preserve">Checkout / Order — </w:t>
      </w:r>
      <w:r>
        <w:t>Commercial purchase/order context preceding Payment.</w:t>
      </w:r>
    </w:p>
    <w:p>
      <w:r>
        <w:rPr>
          <w:b/>
        </w:rPr>
        <w:t xml:space="preserve">Payment Core — </w:t>
      </w:r>
      <w:r>
        <w:t>Provider-independent payment capability inside the M14 Payment Subdomain.</w:t>
      </w:r>
    </w:p>
    <w:p>
      <w:r>
        <w:rPr>
          <w:b/>
        </w:rPr>
        <w:t xml:space="preserve">Payment Transaction / Payment Record — </w:t>
      </w:r>
      <w:r>
        <w:t>Logical representation of a payment attempt/transaction and its provider reference/status; exact schema remains downstream.</w:t>
      </w:r>
    </w:p>
    <w:p>
      <w:r>
        <w:rPr>
          <w:b/>
        </w:rPr>
        <w:t xml:space="preserve">Provider Adapter — </w:t>
      </w:r>
      <w:r>
        <w:t>Boundary for provider-specific integration.</w:t>
      </w:r>
    </w:p>
    <w:p>
      <w:r>
        <w:rPr>
          <w:b/>
        </w:rPr>
        <w:t xml:space="preserve">Payment Verification — </w:t>
      </w:r>
      <w:r>
        <w:t>Trust boundary that establishes whether a provider result is sufficient for confirmed payment.</w:t>
      </w:r>
    </w:p>
    <w:p>
      <w:r>
        <w:rPr>
          <w:b/>
        </w:rPr>
        <w:t xml:space="preserve">Idempotency — </w:t>
      </w:r>
      <w:r>
        <w:t>Logical processing invariant preventing duplicate commercial outcomes from repeated provider events.</w:t>
      </w:r>
    </w:p>
    <w:p>
      <w:r>
        <w:rPr>
          <w:b/>
        </w:rPr>
        <w:t xml:space="preserve">Fulfillment — </w:t>
      </w:r>
      <w:r>
        <w:t>Commercial transition from confirmed payment into the applicable commercial entitlement/subscription/add-on outcome.</w:t>
      </w:r>
    </w:p>
    <w:p>
      <w:r>
        <w:rPr>
          <w:b/>
        </w:rPr>
        <w:t xml:space="preserve">Entitlement — </w:t>
      </w:r>
      <w:r>
        <w:t>Commercial authority for entitlement/grant state; distinct from Subscription and RBAC.</w:t>
      </w:r>
    </w:p>
    <w:p>
      <w:r>
        <w:rPr>
          <w:b/>
        </w:rPr>
        <w:t xml:space="preserve">Agency/Organization Quota Capacity — </w:t>
      </w:r>
      <w:r>
        <w:t>Commercial entitlement-derived quota capacity governed by MADCR-010.</w:t>
      </w:r>
    </w:p>
    <w:p>
      <w:r>
        <w:rPr>
          <w:b/>
        </w:rPr>
        <w:t xml:space="preserve">Operational Quota Pool — </w:t>
      </w:r>
      <w:r>
        <w:t>Operational consumption/allocation layer downstream of Commercial Entitlement.</w:t>
      </w:r>
    </w:p>
    <w:p>
      <w:r>
        <w:rPr>
          <w:b/>
        </w:rPr>
        <w:t xml:space="preserve">Reconciliation — </w:t>
      </w:r>
      <w:r>
        <w:t>First-class capability to detect and audit mismatches across payment/provider/order/subscription/entitlement states.</w:t>
      </w:r>
    </w:p>
    <w:p>
      <w:r>
        <w:rPr>
          <w:b/>
        </w:rPr>
        <w:t xml:space="preserve">Refund / Chargeback Event — </w:t>
      </w:r>
      <w:r>
        <w:t>Separate payment event/state category from ordinary payment success; resulting commercial policy remains outside this model.</w:t>
      </w:r>
    </w:p>
    <w:p>
      <w:pPr>
        <w:pStyle w:val="Heading1"/>
      </w:pPr>
      <w:r>
        <w:t>6. Logical Relationship Invariants</w:t>
      </w:r>
    </w:p>
    <w:p>
      <w:r>
        <w:rPr>
          <w:b/>
        </w:rPr>
        <w:t xml:space="preserve">• </w:t>
      </w:r>
      <w:r>
        <w:t>Order precedes the Payment processing lifecycle in the conceptual flow.</w:t>
      </w:r>
    </w:p>
    <w:p>
      <w:r>
        <w:rPr>
          <w:b/>
        </w:rPr>
        <w:t xml:space="preserve">• </w:t>
      </w:r>
      <w:r>
        <w:t>Payment Core communicates with providers only through the Provider Adapter Boundary.</w:t>
      </w:r>
    </w:p>
    <w:p>
      <w:r>
        <w:rPr>
          <w:b/>
        </w:rPr>
        <w:t xml:space="preserve">• </w:t>
      </w:r>
      <w:r>
        <w:t>Provider callback/result does not directly authorize Commercial Fulfillment; verification and idempotency are required.</w:t>
      </w:r>
    </w:p>
    <w:p>
      <w:r>
        <w:rPr>
          <w:b/>
        </w:rPr>
        <w:t xml:space="preserve">• </w:t>
      </w:r>
      <w:r>
        <w:t>Confirmed Payment may trigger Commercial Fulfillment, subject to the applicable commercial rules.</w:t>
      </w:r>
    </w:p>
    <w:p>
      <w:r>
        <w:rPr>
          <w:b/>
        </w:rPr>
        <w:t xml:space="preserve">• </w:t>
      </w:r>
      <w:r>
        <w:t>Fulfillment may produce/update Subscription, Add-on, and/or Entitlement outcomes according to the governing commercial rules.</w:t>
      </w:r>
    </w:p>
    <w:p>
      <w:r>
        <w:rPr>
          <w:b/>
        </w:rPr>
        <w:t xml:space="preserve">• </w:t>
      </w:r>
      <w:r>
        <w:t>Entitlement remains distinct from Subscription and RBAC.</w:t>
      </w:r>
    </w:p>
    <w:p>
      <w:r>
        <w:rPr>
          <w:b/>
        </w:rPr>
        <w:t xml:space="preserve">• </w:t>
      </w:r>
      <w:r>
        <w:t>Commercial Entitlement feeds Agency/Organization Quota Capacity; allocation/usage remain distinct.</w:t>
      </w:r>
    </w:p>
    <w:p>
      <w:r>
        <w:rPr>
          <w:b/>
        </w:rPr>
        <w:t xml:space="preserve">• </w:t>
      </w:r>
      <w:r>
        <w:t>Reconciliation observes/assesses consistency across the relevant state chain and does not automatically mutate commercial state.</w:t>
      </w:r>
    </w:p>
    <w:p>
      <w:r>
        <w:rPr>
          <w:b/>
        </w:rPr>
        <w:t xml:space="preserve">• </w:t>
      </w:r>
      <w:r>
        <w:t>Historical commercial/payment records remain auditable and are not silently rewritten by configuration changes or reconciliation.</w:t>
      </w:r>
    </w:p>
    <w:p>
      <w:pPr>
        <w:pStyle w:val="Heading1"/>
      </w:pPr>
      <w:r>
        <w:t>7. Explicitly NOT Modeled Yet</w:t>
      </w:r>
    </w:p>
    <w:p>
      <w:r>
        <w:rPr>
          <w:b/>
        </w:rPr>
        <w:t xml:space="preserve">• </w:t>
      </w:r>
      <w:r>
        <w:t>Physical database tables and columns.</w:t>
      </w:r>
    </w:p>
    <w:p>
      <w:r>
        <w:rPr>
          <w:b/>
        </w:rPr>
        <w:t xml:space="preserve">• </w:t>
      </w:r>
      <w:r>
        <w:t>Foreign keys, indexes, unique constraints, row-level security, or transaction locking.</w:t>
      </w:r>
    </w:p>
    <w:p>
      <w:r>
        <w:rPr>
          <w:b/>
        </w:rPr>
        <w:t xml:space="preserve">• </w:t>
      </w:r>
      <w:r>
        <w:t>Exact payment state machine.</w:t>
      </w:r>
    </w:p>
    <w:p>
      <w:r>
        <w:rPr>
          <w:b/>
        </w:rPr>
        <w:t xml:space="preserve">• </w:t>
      </w:r>
      <w:r>
        <w:t>Exact webhook/API contracts.</w:t>
      </w:r>
    </w:p>
    <w:p>
      <w:r>
        <w:rPr>
          <w:b/>
        </w:rPr>
        <w:t xml:space="preserve">• </w:t>
      </w:r>
      <w:r>
        <w:t>Provider-specific adapter interfaces.</w:t>
      </w:r>
    </w:p>
    <w:p>
      <w:r>
        <w:rPr>
          <w:b/>
        </w:rPr>
        <w:t xml:space="preserve">• </w:t>
      </w:r>
      <w:r>
        <w:t>Exact idempotency storage and implementation.</w:t>
      </w:r>
    </w:p>
    <w:p>
      <w:r>
        <w:rPr>
          <w:b/>
        </w:rPr>
        <w:t xml:space="preserve">• </w:t>
      </w:r>
      <w:r>
        <w:t>Reconciliation scheduling, queues, jobs, or remediation mechanics.</w:t>
      </w:r>
    </w:p>
    <w:p>
      <w:r>
        <w:rPr>
          <w:b/>
        </w:rPr>
        <w:t xml:space="preserve">• </w:t>
      </w:r>
      <w:r>
        <w:t>Refund/chargeback commercial policy and state-transition rules.</w:t>
      </w:r>
    </w:p>
    <w:p>
      <w:r>
        <w:rPr>
          <w:b/>
        </w:rPr>
        <w:t xml:space="preserve">• </w:t>
      </w:r>
      <w:r>
        <w:t>RBAC/permission matrix.</w:t>
      </w:r>
    </w:p>
    <w:p>
      <w:r>
        <w:rPr>
          <w:b/>
        </w:rPr>
        <w:t xml:space="preserve">• </w:t>
      </w:r>
      <w:r>
        <w:t>API endpoints.</w:t>
      </w:r>
    </w:p>
    <w:p>
      <w:r>
        <w:rPr>
          <w:b/>
        </w:rPr>
        <w:t xml:space="preserve">• </w:t>
      </w:r>
      <w:r>
        <w:t>Migration and deployment structure.</w:t>
      </w:r>
    </w:p>
    <w:p>
      <w:pPr>
        <w:pStyle w:val="Heading1"/>
      </w:pPr>
      <w:r>
        <w:t>8. Open / Evidence Caveats</w:t>
      </w:r>
    </w:p>
    <w:p>
      <w:r>
        <w:rPr>
          <w:b/>
        </w:rPr>
        <w:t xml:space="preserve">• </w:t>
      </w:r>
      <w:r>
        <w:t>OPEN-C01: the formal relationship between AEP-MON-001 and AEP-MON-002 remains unresolved; this model does not infer supersession or hierarchy.</w:t>
      </w:r>
    </w:p>
    <w:p>
      <w:r>
        <w:rPr>
          <w:b/>
        </w:rPr>
        <w:t xml:space="preserve">• </w:t>
      </w:r>
      <w:r>
        <w:t>MADCR-058 vendor selection remains separate and does not block the provider-independent logical model.</w:t>
      </w:r>
    </w:p>
    <w:p>
      <w:r>
        <w:rPr>
          <w:b/>
        </w:rPr>
        <w:t xml:space="preserve">• </w:t>
      </w:r>
      <w:r>
        <w:t>Any concept or relationship not explicitly supported by the governing sources must remain provisional until the relevant source is identified or a new architecture/business-rule decision is approved.</w:t>
      </w:r>
    </w:p>
    <w:p>
      <w:pPr>
        <w:pStyle w:val="Heading1"/>
      </w:pPr>
      <w:r>
        <w:t>9. Alignment Gate Result</w:t>
      </w:r>
    </w:p>
    <w:p>
      <w:r>
        <w:rPr>
          <w:b/>
        </w:rPr>
        <w:t xml:space="preserve">• </w:t>
      </w:r>
      <w:r>
        <w:t>Commercial/Payment logical domain modeling is READY to proceed from the approved architecture boundaries.</w:t>
      </w:r>
    </w:p>
    <w:p>
      <w:r>
        <w:rPr>
          <w:b/>
        </w:rPr>
        <w:t xml:space="preserve">• </w:t>
      </w:r>
      <w:r>
        <w:t>ERD is NOT yet authorized by this artifact.</w:t>
      </w:r>
    </w:p>
    <w:p>
      <w:r>
        <w:rPr>
          <w:b/>
        </w:rPr>
        <w:t xml:space="preserve">• </w:t>
      </w:r>
      <w:r>
        <w:t>Before ERD, this logical model should be reconciled against the existing System Architecture, current ERD/Schema, API, RBAC, User Flow, PRD, and relevant Commercial Business Rules to identify impact, conflicts, missing concepts, and legacy constraints.</w:t>
      </w:r>
    </w:p>
    <w:p>
      <w:r>
        <w:rPr>
          <w:b/>
        </w:rPr>
        <w:t xml:space="preserve">• </w:t>
      </w:r>
      <w:r>
        <w:t>Next formal activity: Commercial + Payment Domain Model Impact &amp; Alignment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