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Commercial + Payment Domain Model Impact &amp; Alignment Review</w:t>
      </w:r>
    </w:p>
    <w:p>
      <w:pPr>
        <w:jc w:val="center"/>
      </w:pPr>
      <w:r>
        <w:rPr>
          <w:i/>
        </w:rPr>
        <w:t>v1.0 — Evidence-First Current-State Impact Assessment</w:t>
      </w:r>
    </w:p>
    <w:p>
      <w:pPr>
        <w:pStyle w:val="Heading1"/>
      </w:pPr>
      <w:r>
        <w:t>1. Review Scope</w:t>
      </w:r>
    </w:p>
    <w:p>
      <w:r>
        <w:rPr>
          <w:b/>
        </w:rPr>
        <w:t xml:space="preserve">• </w:t>
      </w:r>
      <w:r>
        <w:t>This review compares the approved Commercial/Payment logical model against the source evidence that is currently retrievable from the File Library.</w:t>
      </w:r>
    </w:p>
    <w:p>
      <w:r>
        <w:rPr>
          <w:b/>
        </w:rPr>
        <w:t xml:space="preserve">• </w:t>
      </w:r>
      <w:r>
        <w:t>It deliberately does not claim that an existing ERD/API/RBAC/schema is aligned or conflicting unless that artifact was actually retrieved and inspected.</w:t>
      </w:r>
    </w:p>
    <w:p>
      <w:r>
        <w:rPr>
          <w:b/>
        </w:rPr>
        <w:t xml:space="preserve">• </w:t>
      </w:r>
      <w:r>
        <w:t>The governing rule remains: identify conflicts explicitly; do not silently reconcile or replace downstream content.</w:t>
      </w:r>
    </w:p>
    <w:p>
      <w:pPr>
        <w:pStyle w:val="Heading1"/>
      </w:pPr>
      <w:r>
        <w:t>2. Source-of-Truth Hierarchy Applied</w:t>
      </w:r>
    </w:p>
    <w:p>
      <w:r>
        <w:rPr>
          <w:b/>
        </w:rPr>
        <w:t xml:space="preserve">• </w:t>
      </w:r>
      <w:r>
        <w:t>Business Rules Baseline v1.0 is the normative business-logic source.</w:t>
      </w:r>
    </w:p>
    <w:p>
      <w:r>
        <w:rPr>
          <w:b/>
        </w:rPr>
        <w:t xml:space="preserve">• </w:t>
      </w:r>
      <w:r>
        <w:t>Approved ADRs and System Architecture provide governing architecture constraints.</w:t>
      </w:r>
    </w:p>
    <w:p>
      <w:r>
        <w:rPr>
          <w:b/>
        </w:rPr>
        <w:t xml:space="preserve">• </w:t>
      </w:r>
      <w:r>
        <w:t>PRD, ERD, API, RBAC/Permission Matrix and User Flow are downstream artifacts that must be synchronized.</w:t>
      </w:r>
    </w:p>
    <w:p>
      <w:r>
        <w:rPr>
          <w:b/>
        </w:rPr>
        <w:t xml:space="preserve">• </w:t>
      </w:r>
      <w:r>
        <w:t>The Monetization Architecture Evolution Proposal is an architecture-translation/synchronization document and explicitly instructs that contradictions be identified rather than silently resolved.</w:t>
      </w:r>
    </w:p>
    <w:p>
      <w:pPr>
        <w:pStyle w:val="Heading1"/>
      </w:pPr>
      <w:r>
        <w:t>3. Impact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Artifact</w:t>
            </w:r>
          </w:p>
        </w:tc>
        <w:tc>
          <w:tcPr>
            <w:tcW w:type="dxa" w:w="1728"/>
          </w:tcPr>
          <w:p>
            <w:r>
              <w:t>Current Source Direction</w:t>
            </w:r>
          </w:p>
        </w:tc>
        <w:tc>
          <w:tcPr>
            <w:tcW w:type="dxa" w:w="1728"/>
          </w:tcPr>
          <w:p>
            <w:r>
              <w:t>Required Alignment</w:t>
            </w:r>
          </w:p>
        </w:tc>
        <w:tc>
          <w:tcPr>
            <w:tcW w:type="dxa" w:w="1728"/>
          </w:tcPr>
          <w:p>
            <w:r>
              <w:t>Conflict / Caveat</w:t>
            </w:r>
          </w:p>
        </w:tc>
        <w:tc>
          <w:tcPr>
            <w:tcW w:type="dxa" w:w="1728"/>
          </w:tcPr>
          <w:p>
            <w:r>
              <w:t>Classification</w:t>
            </w:r>
          </w:p>
        </w:tc>
      </w:tr>
      <w:tr>
        <w:tc>
          <w:tcPr>
            <w:tcW w:type="dxa" w:w="1728"/>
            <w:vAlign w:val="top"/>
          </w:tcPr>
          <w:p>
            <w:r>
              <w:t>Business Rules Baseline v1.0</w:t>
            </w:r>
          </w:p>
        </w:tc>
        <w:tc>
          <w:tcPr>
            <w:tcW w:type="dxa" w:w="1728"/>
            <w:vAlign w:val="top"/>
          </w:tcPr>
          <w:p>
            <w:r>
              <w:t>Normative business logic; downstream must trace to BR-001–BR-151.</w:t>
            </w:r>
          </w:p>
        </w:tc>
        <w:tc>
          <w:tcPr>
            <w:tcW w:type="dxa" w:w="1728"/>
            <w:vAlign w:val="top"/>
          </w:tcPr>
          <w:p>
            <w:r>
              <w:t>Preserve as source of truth; do not redefine rules in domain model.</w:t>
            </w:r>
          </w:p>
        </w:tc>
        <w:tc>
          <w:tcPr>
            <w:tcW w:type="dxa" w:w="1728"/>
            <w:vAlign w:val="top"/>
          </w:tcPr>
          <w:p>
            <w:r>
              <w:t>No conflict assessment required at this stage.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AEP Monetization / Subscription / Promotion / Payment v1.0</w:t>
            </w:r>
          </w:p>
        </w:tc>
        <w:tc>
          <w:tcPr>
            <w:tcW w:type="dxa" w:w="1728"/>
            <w:vAlign w:val="top"/>
          </w:tcPr>
          <w:p>
            <w:r>
              <w:t>Defines monetization architecture direction and downstream update order.</w:t>
            </w:r>
          </w:p>
        </w:tc>
        <w:tc>
          <w:tcPr>
            <w:tcW w:type="dxa" w:w="1728"/>
            <w:vAlign w:val="top"/>
          </w:tcPr>
          <w:p>
            <w:r>
              <w:t>Translate approved ADRs and locked commercial rules into logical model.</w:t>
            </w:r>
          </w:p>
        </w:tc>
        <w:tc>
          <w:tcPr>
            <w:tcW w:type="dxa" w:w="1728"/>
            <w:vAlign w:val="top"/>
          </w:tcPr>
          <w:p>
            <w:r>
              <w:t>AEP remains Proposed/translation; it must not silently override governing ADRs/BRs.</w:t>
            </w:r>
          </w:p>
        </w:tc>
        <w:tc>
          <w:tcPr>
            <w:tcW w:type="dxa" w:w="1728"/>
            <w:vAlign w:val="top"/>
          </w:tcPr>
          <w:p>
            <w:r>
              <w:t>Governing reference</w:t>
            </w:r>
          </w:p>
        </w:tc>
      </w:tr>
      <w:tr>
        <w:tc>
          <w:tcPr>
            <w:tcW w:type="dxa" w:w="1728"/>
            <w:vAlign w:val="top"/>
          </w:tcPr>
          <w:p>
            <w:r>
              <w:t>ADR-011 / MADCR-011</w:t>
            </w:r>
          </w:p>
        </w:tc>
        <w:tc>
          <w:tcPr>
            <w:tcW w:type="dxa" w:w="1728"/>
            <w:vAlign w:val="top"/>
          </w:tcPr>
          <w:p>
            <w:r>
              <w:t>Payment ownership = M14 Commercial Payment Subdomain; M16 not approved.</w:t>
            </w:r>
          </w:p>
        </w:tc>
        <w:tc>
          <w:tcPr>
            <w:tcW w:type="dxa" w:w="1728"/>
            <w:vAlign w:val="top"/>
          </w:tcPr>
          <w:p>
            <w:r>
              <w:t>Domain model must place Payment inside M14 with internal Payment boundary.</w:t>
            </w:r>
          </w:p>
        </w:tc>
        <w:tc>
          <w:tcPr>
            <w:tcW w:type="dxa" w:w="1728"/>
            <w:vAlign w:val="top"/>
          </w:tcPr>
          <w:p>
            <w:r>
              <w:t>Any M16 top-level Payment model would be conflict.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ADR-002 / MADCR-002</w:t>
            </w:r>
          </w:p>
        </w:tc>
        <w:tc>
          <w:tcPr>
            <w:tcW w:type="dxa" w:w="1728"/>
            <w:vAlign w:val="top"/>
          </w:tcPr>
          <w:p>
            <w:r>
              <w:t>Provider-independent Payment Core + Provider Adapter Boundary.</w:t>
            </w:r>
          </w:p>
        </w:tc>
        <w:tc>
          <w:tcPr>
            <w:tcW w:type="dxa" w:w="1728"/>
            <w:vAlign w:val="top"/>
          </w:tcPr>
          <w:p>
            <w:r>
              <w:t>Domain model must not couple Payment Core to provider-specific concepts.</w:t>
            </w:r>
          </w:p>
        </w:tc>
        <w:tc>
          <w:tcPr>
            <w:tcW w:type="dxa" w:w="1728"/>
            <w:vAlign w:val="top"/>
          </w:tcPr>
          <w:p>
            <w:r>
              <w:t>Vendor/provider-specific entities must remain behind integration boundary.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ADR-003 / MADCR-003</w:t>
            </w:r>
          </w:p>
        </w:tc>
        <w:tc>
          <w:tcPr>
            <w:tcW w:type="dxa" w:w="1728"/>
            <w:vAlign w:val="top"/>
          </w:tcPr>
          <w:p>
            <w:r>
              <w:t>Verified payment + idempotent fulfillment before commercial mutation.</w:t>
            </w:r>
          </w:p>
        </w:tc>
        <w:tc>
          <w:tcPr>
            <w:tcW w:type="dxa" w:w="1728"/>
            <w:vAlign w:val="top"/>
          </w:tcPr>
          <w:p>
            <w:r>
              <w:t>Domain model must preserve trust boundary and duplicate-event prevention semantics.</w:t>
            </w:r>
          </w:p>
        </w:tc>
        <w:tc>
          <w:tcPr>
            <w:tcW w:type="dxa" w:w="1728"/>
            <w:vAlign w:val="top"/>
          </w:tcPr>
          <w:p>
            <w:r>
              <w:t>Do not encode exact implementation mechanism in logical model.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ADR-005 / MADCR-005</w:t>
            </w:r>
          </w:p>
        </w:tc>
        <w:tc>
          <w:tcPr>
            <w:tcW w:type="dxa" w:w="1728"/>
            <w:vAlign w:val="top"/>
          </w:tcPr>
          <w:p>
            <w:r>
              <w:t>Reconciliation is first-class; detect/audit inconsistency; no automatic remediation.</w:t>
            </w:r>
          </w:p>
        </w:tc>
        <w:tc>
          <w:tcPr>
            <w:tcW w:type="dxa" w:w="1728"/>
            <w:vAlign w:val="top"/>
          </w:tcPr>
          <w:p>
            <w:r>
              <w:t>Domain model must represent reconciliation as capability/state relationship, not entitlement authority.</w:t>
            </w:r>
          </w:p>
        </w:tc>
        <w:tc>
          <w:tcPr>
            <w:tcW w:type="dxa" w:w="1728"/>
            <w:vAlign w:val="top"/>
          </w:tcPr>
          <w:p>
            <w:r>
              <w:t>Automatic corrective mutation would conflict.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MADCR-010</w:t>
            </w:r>
          </w:p>
        </w:tc>
        <w:tc>
          <w:tcPr>
            <w:tcW w:type="dxa" w:w="1728"/>
            <w:vAlign w:val="top"/>
          </w:tcPr>
          <w:p>
            <w:r>
              <w:t>Commercial Entitlement authoritative for Agency/Organization quota capacity.</w:t>
            </w:r>
          </w:p>
        </w:tc>
        <w:tc>
          <w:tcPr>
            <w:tcW w:type="dxa" w:w="1728"/>
            <w:vAlign w:val="top"/>
          </w:tcPr>
          <w:p>
            <w:r>
              <w:t>Quota capacity must derive from Commercial Entitlement; allocation/usage remain distinct.</w:t>
            </w:r>
          </w:p>
        </w:tc>
        <w:tc>
          <w:tcPr>
            <w:tcW w:type="dxa" w:w="1728"/>
            <w:vAlign w:val="top"/>
          </w:tcPr>
          <w:p>
            <w:r>
              <w:t>Payment must not become direct quota authority.</w:t>
            </w:r>
          </w:p>
        </w:tc>
        <w:tc>
          <w:tcPr>
            <w:tcW w:type="dxa" w:w="1728"/>
            <w:vAlign w:val="top"/>
          </w:tcPr>
          <w:p>
            <w:r>
              <w:t>Governing</w:t>
            </w:r>
          </w:p>
        </w:tc>
      </w:tr>
      <w:tr>
        <w:tc>
          <w:tcPr>
            <w:tcW w:type="dxa" w:w="1728"/>
            <w:vAlign w:val="top"/>
          </w:tcPr>
          <w:p>
            <w:r>
              <w:t>Architecture Evolution Monetization v1.1</w:t>
            </w:r>
          </w:p>
        </w:tc>
        <w:tc>
          <w:tcPr>
            <w:tcW w:type="dxa" w:w="1728"/>
            <w:vAlign w:val="top"/>
          </w:tcPr>
          <w:p>
            <w:r>
              <w:t>Requires separation of Subscription, Entitlement, permanent/promotional add-on, auditability, idempotency, payment/entitlement boundary and downstream synchronization.</w:t>
            </w:r>
          </w:p>
        </w:tc>
        <w:tc>
          <w:tcPr>
            <w:tcW w:type="dxa" w:w="1728"/>
            <w:vAlign w:val="top"/>
          </w:tcPr>
          <w:p>
            <w:r>
              <w:t>Domain model must preserve exact terminology and these distinctions.</w:t>
            </w:r>
          </w:p>
        </w:tc>
        <w:tc>
          <w:tcPr>
            <w:tcW w:type="dxa" w:w="1728"/>
            <w:vAlign w:val="top"/>
          </w:tcPr>
          <w:p>
            <w:r>
              <w:t>Missing current-state evidence prevents declaring existing ERD/API/RBAC aligned or conflicting.</w:t>
            </w:r>
          </w:p>
        </w:tc>
        <w:tc>
          <w:tcPr>
            <w:tcW w:type="dxa" w:w="1728"/>
            <w:vAlign w:val="top"/>
          </w:tcPr>
          <w:p>
            <w:r>
              <w:t>Architecture evolution</w:t>
            </w:r>
          </w:p>
        </w:tc>
      </w:tr>
      <w:tr>
        <w:tc>
          <w:tcPr>
            <w:tcW w:type="dxa" w:w="1728"/>
            <w:vAlign w:val="top"/>
          </w:tcPr>
          <w:p>
            <w:r>
              <w:t>PRD-Real-Estate-Agency-Platform-v1.2</w:t>
            </w:r>
          </w:p>
        </w:tc>
        <w:tc>
          <w:tcPr>
            <w:tcW w:type="dxa" w:w="1728"/>
            <w:vAlign w:val="top"/>
          </w:tcPr>
          <w:p>
            <w:r>
              <w:t>Current product/user-flow baseline is present in File Library; observed modules focus on agency/listing/learning/event/admin flows.</w:t>
            </w:r>
          </w:p>
        </w:tc>
        <w:tc>
          <w:tcPr>
            <w:tcW w:type="dxa" w:w="1728"/>
            <w:vAlign w:val="top"/>
          </w:tcPr>
          <w:p>
            <w:r>
              <w:t>Must be checked for any subscription/payment behavior before downstream synchronization.</w:t>
            </w:r>
          </w:p>
        </w:tc>
        <w:tc>
          <w:tcPr>
            <w:tcW w:type="dxa" w:w="1728"/>
            <w:vAlign w:val="top"/>
          </w:tcPr>
          <w:p>
            <w:r>
              <w:t>Payment-specific impact cannot be declared complete from the retrieved PRD snippets alone.</w:t>
            </w:r>
          </w:p>
        </w:tc>
        <w:tc>
          <w:tcPr>
            <w:tcW w:type="dxa" w:w="1728"/>
            <w:vAlign w:val="top"/>
          </w:tcPr>
          <w:p>
            <w:r>
              <w:t>Downstream — review required</w:t>
            </w:r>
          </w:p>
        </w:tc>
      </w:tr>
      <w:tr>
        <w:tc>
          <w:tcPr>
            <w:tcW w:type="dxa" w:w="1728"/>
            <w:vAlign w:val="top"/>
          </w:tcPr>
          <w:p>
            <w:r>
              <w:t>User-Flow-Real-Estate-Agency-Platform-v1.1</w:t>
            </w:r>
          </w:p>
        </w:tc>
        <w:tc>
          <w:tcPr>
            <w:tcW w:type="dxa" w:w="1728"/>
            <w:vAlign w:val="top"/>
          </w:tcPr>
          <w:p>
            <w:r>
              <w:t>Role/module flows and Admin/RBAC flows exist; retrieved evidence includes role/permission and admin configuration flows.</w:t>
            </w:r>
          </w:p>
        </w:tc>
        <w:tc>
          <w:tcPr>
            <w:tcW w:type="dxa" w:w="1728"/>
            <w:vAlign w:val="top"/>
          </w:tcPr>
          <w:p>
            <w:r>
              <w:t>Payment/subscription/entitlement flows need explicit alignment where introduced by monetization evolution.</w:t>
            </w:r>
          </w:p>
        </w:tc>
        <w:tc>
          <w:tcPr>
            <w:tcW w:type="dxa" w:w="1728"/>
            <w:vAlign w:val="top"/>
          </w:tcPr>
          <w:p>
            <w:r>
              <w:t>Do not infer missing payment UX from general admin flows.</w:t>
            </w:r>
          </w:p>
        </w:tc>
        <w:tc>
          <w:tcPr>
            <w:tcW w:type="dxa" w:w="1728"/>
            <w:vAlign w:val="top"/>
          </w:tcPr>
          <w:p>
            <w:r>
              <w:t>Downstream — review required</w:t>
            </w:r>
          </w:p>
        </w:tc>
      </w:tr>
      <w:tr>
        <w:tc>
          <w:tcPr>
            <w:tcW w:type="dxa" w:w="1728"/>
            <w:vAlign w:val="top"/>
          </w:tcPr>
          <w:p>
            <w:r>
              <w:t>SYSTEM-ARCHITECTURE</w:t>
            </w:r>
          </w:p>
        </w:tc>
        <w:tc>
          <w:tcPr>
            <w:tcW w:type="dxa" w:w="1728"/>
            <w:vAlign w:val="top"/>
          </w:tcPr>
          <w:p>
            <w:r>
              <w:t>Approved technical reference exists in File Library; retrieved content confirms route-handler/service architecture and current technical patterns.</w:t>
            </w:r>
          </w:p>
        </w:tc>
        <w:tc>
          <w:tcPr>
            <w:tcW w:type="dxa" w:w="1728"/>
            <w:vAlign w:val="top"/>
          </w:tcPr>
          <w:p>
            <w:r>
              <w:t>Must be checked for M14/Commercial/Payment placement and downstream architecture impact.</w:t>
            </w:r>
          </w:p>
        </w:tc>
        <w:tc>
          <w:tcPr>
            <w:tcW w:type="dxa" w:w="1728"/>
            <w:vAlign w:val="top"/>
          </w:tcPr>
          <w:p>
            <w:r>
              <w:t>Current retrieved snippets do not expose the full Commercial/Payment section; no silent rewrite.</w:t>
            </w:r>
          </w:p>
        </w:tc>
        <w:tc>
          <w:tcPr>
            <w:tcW w:type="dxa" w:w="1728"/>
            <w:vAlign w:val="top"/>
          </w:tcPr>
          <w:p>
            <w:r>
              <w:t>Downstream — review required</w:t>
            </w:r>
          </w:p>
        </w:tc>
      </w:tr>
      <w:tr>
        <w:tc>
          <w:tcPr>
            <w:tcW w:type="dxa" w:w="1728"/>
            <w:vAlign w:val="top"/>
          </w:tcPr>
          <w:p>
            <w:r>
              <w:t>ERD / Logical Database</w:t>
            </w:r>
          </w:p>
        </w:tc>
        <w:tc>
          <w:tcPr>
            <w:tcW w:type="dxa" w:w="1728"/>
            <w:vAlign w:val="top"/>
          </w:tcPr>
          <w:p>
            <w:r>
              <w:t>Governance register identifies ERD-Skema-Database-Real-Estate-Agency-v1.1 as approved logical DB source.</w:t>
            </w:r>
          </w:p>
        </w:tc>
        <w:tc>
          <w:tcPr>
            <w:tcW w:type="dxa" w:w="1728"/>
            <w:vAlign w:val="top"/>
          </w:tcPr>
          <w:p>
            <w:r>
              <w:t>Must be reconciled against the new logical domain concepts before any ERD update.</w:t>
            </w:r>
          </w:p>
        </w:tc>
        <w:tc>
          <w:tcPr>
            <w:tcW w:type="dxa" w:w="1728"/>
            <w:vAlign w:val="top"/>
          </w:tcPr>
          <w:p>
            <w:r>
              <w:t>The current ERD file itself was not retrieved in this impact pass; therefore no claim of current-table conflict is made.</w:t>
            </w:r>
          </w:p>
        </w:tc>
        <w:tc>
          <w:tcPr>
            <w:tcW w:type="dxa" w:w="1728"/>
            <w:vAlign w:val="top"/>
          </w:tcPr>
          <w:p>
            <w:r>
              <w:t>Evidence gap</w:t>
            </w:r>
          </w:p>
        </w:tc>
      </w:tr>
      <w:tr>
        <w:tc>
          <w:tcPr>
            <w:tcW w:type="dxa" w:w="1728"/>
            <w:vAlign w:val="top"/>
          </w:tcPr>
          <w:p>
            <w:r>
              <w:t>API Specification</w:t>
            </w:r>
          </w:p>
        </w:tc>
        <w:tc>
          <w:tcPr>
            <w:tcW w:type="dxa" w:w="1728"/>
            <w:vAlign w:val="top"/>
          </w:tcPr>
          <w:p>
            <w:r>
              <w:t>Governance register identifies API-Specification-Real-Estate-Agency-Platform-v1.1 as API source of truth.</w:t>
            </w:r>
          </w:p>
        </w:tc>
        <w:tc>
          <w:tcPr>
            <w:tcW w:type="dxa" w:w="1728"/>
            <w:vAlign w:val="top"/>
          </w:tcPr>
          <w:p>
            <w:r>
              <w:t>Must be reconciled after logical model; payment/order/entitlement contracts remain downstream.</w:t>
            </w:r>
          </w:p>
        </w:tc>
        <w:tc>
          <w:tcPr>
            <w:tcW w:type="dxa" w:w="1728"/>
            <w:vAlign w:val="top"/>
          </w:tcPr>
          <w:p>
            <w:r>
              <w:t>Current API file was not retrieved in this impact pass; no current endpoint conflict is asserted.</w:t>
            </w:r>
          </w:p>
        </w:tc>
        <w:tc>
          <w:tcPr>
            <w:tcW w:type="dxa" w:w="1728"/>
            <w:vAlign w:val="top"/>
          </w:tcPr>
          <w:p>
            <w:r>
              <w:t>Evidence gap</w:t>
            </w:r>
          </w:p>
        </w:tc>
      </w:tr>
      <w:tr>
        <w:tc>
          <w:tcPr>
            <w:tcW w:type="dxa" w:w="1728"/>
            <w:vAlign w:val="top"/>
          </w:tcPr>
          <w:p>
            <w:r>
              <w:t>RBAC / Permission Matrix</w:t>
            </w:r>
          </w:p>
        </w:tc>
        <w:tc>
          <w:tcPr>
            <w:tcW w:type="dxa" w:w="1728"/>
            <w:vAlign w:val="top"/>
          </w:tcPr>
          <w:p>
            <w:r>
              <w:t>User Flow/PRD evidence shows role/permission governance and Manager global scope.</w:t>
            </w:r>
          </w:p>
        </w:tc>
        <w:tc>
          <w:tcPr>
            <w:tcW w:type="dxa" w:w="1728"/>
            <w:vAlign w:val="top"/>
          </w:tcPr>
          <w:p>
            <w:r>
              <w:t>Must preserve Entitlement ≠ RBAC and validate subscription/purchase permissions.</w:t>
            </w:r>
          </w:p>
        </w:tc>
        <w:tc>
          <w:tcPr>
            <w:tcW w:type="dxa" w:w="1728"/>
            <w:vAlign w:val="top"/>
          </w:tcPr>
          <w:p>
            <w:r>
              <w:t>Current dedicated permission matrix was not retrieved in this impact pass; no detailed permission conflict is asserted.</w:t>
            </w:r>
          </w:p>
        </w:tc>
        <w:tc>
          <w:tcPr>
            <w:tcW w:type="dxa" w:w="1728"/>
            <w:vAlign w:val="top"/>
          </w:tcPr>
          <w:p>
            <w:r>
              <w:t>Evidence gap</w:t>
            </w:r>
          </w:p>
        </w:tc>
      </w:tr>
      <w:tr>
        <w:tc>
          <w:tcPr>
            <w:tcW w:type="dxa" w:w="1728"/>
            <w:vAlign w:val="top"/>
          </w:tcPr>
          <w:p>
            <w:r>
              <w:t>Database Schema / Migrations</w:t>
            </w:r>
          </w:p>
        </w:tc>
        <w:tc>
          <w:tcPr>
            <w:tcW w:type="dxa" w:w="1728"/>
            <w:vAlign w:val="top"/>
          </w:tcPr>
          <w:p>
            <w:r>
              <w:t>Governance register says no separate physical schema baseline existed at the reviewed point; ERD is logical and migrations become physical reference after implementation starts.</w:t>
            </w:r>
          </w:p>
        </w:tc>
        <w:tc>
          <w:tcPr>
            <w:tcW w:type="dxa" w:w="1728"/>
            <w:vAlign w:val="top"/>
          </w:tcPr>
          <w:p>
            <w:r>
              <w:t>No physical schema changes should be drafted yet.</w:t>
            </w:r>
          </w:p>
        </w:tc>
        <w:tc>
          <w:tcPr>
            <w:tcW w:type="dxa" w:w="1728"/>
            <w:vAlign w:val="top"/>
          </w:tcPr>
          <w:p>
            <w:r>
              <w:t>No physical schema conflict can be assessed from unavailable artifacts.</w:t>
            </w:r>
          </w:p>
        </w:tc>
        <w:tc>
          <w:tcPr>
            <w:tcW w:type="dxa" w:w="1728"/>
            <w:vAlign w:val="top"/>
          </w:tcPr>
          <w:p>
            <w:r>
              <w:t>Downstream / not yet authorized</w:t>
            </w:r>
          </w:p>
        </w:tc>
      </w:tr>
    </w:tbl>
    <w:p>
      <w:pPr>
        <w:pStyle w:val="Heading1"/>
      </w:pPr>
      <w:r>
        <w:t>4. Confirmed Logical Alignment</w:t>
      </w:r>
    </w:p>
    <w:p>
      <w:r>
        <w:rPr>
          <w:b/>
        </w:rPr>
        <w:t xml:space="preserve">• </w:t>
      </w:r>
      <w:r>
        <w:t>MADCR-011 + MADCR-002 are coherent: Payment is inside M14 Commercial while retaining an internal Payment Core and provider adapter boundary.</w:t>
      </w:r>
    </w:p>
    <w:p>
      <w:r>
        <w:rPr>
          <w:b/>
        </w:rPr>
        <w:t xml:space="preserve">• </w:t>
      </w:r>
      <w:r>
        <w:t>MADCR-003 adds a trust boundary after provider integration and before commercial fulfillment; it does not redefine Payment ownership.</w:t>
      </w:r>
    </w:p>
    <w:p>
      <w:r>
        <w:rPr>
          <w:b/>
        </w:rPr>
        <w:t xml:space="preserve">• </w:t>
      </w:r>
      <w:r>
        <w:t>MADCR-005 adds reconciliation as a detect/audit capability and explicitly does not grant automatic entitlement/quota mutation.</w:t>
      </w:r>
    </w:p>
    <w:p>
      <w:r>
        <w:rPr>
          <w:b/>
        </w:rPr>
        <w:t xml:space="preserve">• </w:t>
      </w:r>
      <w:r>
        <w:t>MADCR-010 keeps Commercial Entitlement authoritative for Agency/Organization quota capacity.</w:t>
      </w:r>
    </w:p>
    <w:p>
      <w:r>
        <w:rPr>
          <w:b/>
        </w:rPr>
        <w:t xml:space="preserve">• </w:t>
      </w:r>
      <w:r>
        <w:t>The logical model therefore preserves the intended separation: Subscription ≠ Entitlement ≠ RBAC, Payment status ≠ Entitlement status, and Reconciliation ≠ automatic remediation.</w:t>
      </w:r>
    </w:p>
    <w:p>
      <w:pPr>
        <w:pStyle w:val="Heading1"/>
      </w:pPr>
      <w:r>
        <w:t>5. Confirmed Downstream Impact Requirements</w:t>
      </w:r>
    </w:p>
    <w:p>
      <w:r>
        <w:rPr>
          <w:b/>
        </w:rPr>
        <w:t xml:space="preserve">• </w:t>
      </w:r>
      <w:r>
        <w:t>Commercial Domain Model must preserve M14 ownership and the Payment subdomain boundary.</w:t>
      </w:r>
    </w:p>
    <w:p>
      <w:r>
        <w:rPr>
          <w:b/>
        </w:rPr>
        <w:t xml:space="preserve">• </w:t>
      </w:r>
      <w:r>
        <w:t>Payment logical concepts must remain provider-neutral; provider-specific details belong behind the adapter boundary.</w:t>
      </w:r>
    </w:p>
    <w:p>
      <w:r>
        <w:rPr>
          <w:b/>
        </w:rPr>
        <w:t xml:space="preserve">• </w:t>
      </w:r>
      <w:r>
        <w:t>Payment transaction/payment record must remain distinct from entitlement state.</w:t>
      </w:r>
    </w:p>
    <w:p>
      <w:r>
        <w:rPr>
          <w:b/>
        </w:rPr>
        <w:t xml:space="preserve">• </w:t>
      </w:r>
      <w:r>
        <w:t>Fulfillment must be represented as a controlled transition after verified/idempotent payment confirmation.</w:t>
      </w:r>
    </w:p>
    <w:p>
      <w:r>
        <w:rPr>
          <w:b/>
        </w:rPr>
        <w:t xml:space="preserve">• </w:t>
      </w:r>
      <w:r>
        <w:t>Subscription and add-on/entitlement semantics must remain separately representable.</w:t>
      </w:r>
    </w:p>
    <w:p>
      <w:r>
        <w:rPr>
          <w:b/>
        </w:rPr>
        <w:t xml:space="preserve">• </w:t>
      </w:r>
      <w:r>
        <w:t>Permanent versus promotional add-on validity must remain distinguishable where the locked commercial model requires it.</w:t>
      </w:r>
    </w:p>
    <w:p>
      <w:r>
        <w:rPr>
          <w:b/>
        </w:rPr>
        <w:t xml:space="preserve">• </w:t>
      </w:r>
      <w:r>
        <w:t>Historical transaction/grant information must remain auditable and must not be rewritten by later configuration changes.</w:t>
      </w:r>
    </w:p>
    <w:p>
      <w:r>
        <w:rPr>
          <w:b/>
        </w:rPr>
        <w:t xml:space="preserve">• </w:t>
      </w:r>
      <w:r>
        <w:t>Reconciliation must be able to assess the cross-state chain without becoming the source of truth for commercial entitlement.</w:t>
      </w:r>
    </w:p>
    <w:p>
      <w:pPr>
        <w:pStyle w:val="Heading1"/>
      </w:pPr>
      <w:r>
        <w:t>6. Evidence Gaps That Block a Full Current-State Impact Verdict</w:t>
      </w:r>
    </w:p>
    <w:p>
      <w:r>
        <w:rPr>
          <w:b/>
        </w:rPr>
        <w:t xml:space="preserve">• </w:t>
      </w:r>
      <w:r>
        <w:t>The current ERD-Skema-Database-Real-Estate-Agency-v1.1 artifact is identified by the governance register, but it was not retrieved in this impact pass. Therefore current-table/entity conflicts cannot be declared.</w:t>
      </w:r>
    </w:p>
    <w:p>
      <w:r>
        <w:rPr>
          <w:b/>
        </w:rPr>
        <w:t xml:space="preserve">• </w:t>
      </w:r>
      <w:r>
        <w:t>The current API-Specification-Real-Estate-Agency-Platform-v1.1 artifact is identified, but was not retrieved in this impact pass. Therefore endpoint/contract conflicts cannot be declared.</w:t>
      </w:r>
    </w:p>
    <w:p>
      <w:r>
        <w:rPr>
          <w:b/>
        </w:rPr>
        <w:t xml:space="preserve">• </w:t>
      </w:r>
      <w:r>
        <w:t>The dedicated RBAC/Permission Matrix artifact was not retrieved in this impact pass. User Flow evidence confirms role/permission governance, but it is insufficient for a full permission impact verdict.</w:t>
      </w:r>
    </w:p>
    <w:p>
      <w:r>
        <w:rPr>
          <w:b/>
        </w:rPr>
        <w:t xml:space="preserve">• </w:t>
      </w:r>
      <w:r>
        <w:t>The full Commercial/Payment section of SYSTEM-ARCHITECTURE was not retrieved in this pass. Available snippets confirm the technical architecture pattern but do not prove full Payment alignment.</w:t>
      </w:r>
    </w:p>
    <w:p>
      <w:r>
        <w:rPr>
          <w:b/>
        </w:rPr>
        <w:t xml:space="preserve">• </w:t>
      </w:r>
      <w:r>
        <w:t>These are evidence gaps, not architecture conflicts.</w:t>
      </w:r>
    </w:p>
    <w:p>
      <w:pPr>
        <w:pStyle w:val="Heading1"/>
      </w:pPr>
      <w:r>
        <w:t>7. Preliminary Conflict / Gap Classification</w:t>
      </w:r>
    </w:p>
    <w:p>
      <w:r>
        <w:rPr>
          <w:b/>
        </w:rPr>
        <w:t xml:space="preserve">• </w:t>
      </w:r>
      <w:r>
        <w:t>CONFIRMED CONFLICTS: none established from the evidence actually inspected in this pass.</w:t>
      </w:r>
    </w:p>
    <w:p>
      <w:r>
        <w:rPr>
          <w:b/>
        </w:rPr>
        <w:t xml:space="preserve">• </w:t>
      </w:r>
      <w:r>
        <w:t>CONFIRMED GOVERNING ALIGNMENTS: MADCR-011, MADCR-002, MADCR-003, MADCR-005, MADCR-010.</w:t>
      </w:r>
    </w:p>
    <w:p>
      <w:r>
        <w:rPr>
          <w:b/>
        </w:rPr>
        <w:t xml:space="preserve">• </w:t>
      </w:r>
      <w:r>
        <w:t>REQUIRED DOWNSTREAM ALIGNMENT: Commercial Domain Model, System Architecture, ERD, API, RBAC/Permission Matrix, User Flow, PRD and traceability.</w:t>
      </w:r>
    </w:p>
    <w:p>
      <w:r>
        <w:rPr>
          <w:b/>
        </w:rPr>
        <w:t xml:space="preserve">• </w:t>
      </w:r>
      <w:r>
        <w:t>EVIDENCE GAPS: current ERD, current API contract, dedicated RBAC matrix, and complete current System Architecture Commercial/Payment sections.</w:t>
      </w:r>
    </w:p>
    <w:p>
      <w:r>
        <w:rPr>
          <w:b/>
        </w:rPr>
        <w:t xml:space="preserve">• </w:t>
      </w:r>
      <w:r>
        <w:t>OPEN GOVERNANCE: OPEN-C01 remains unresolved and must not be silently closed.</w:t>
      </w:r>
    </w:p>
    <w:p>
      <w:pPr>
        <w:pStyle w:val="Heading1"/>
      </w:pPr>
      <w:r>
        <w:t>8. Gate Decision</w:t>
      </w:r>
    </w:p>
    <w:p>
      <w:r>
        <w:rPr>
          <w:b/>
        </w:rPr>
        <w:t xml:space="preserve">• </w:t>
      </w:r>
      <w:r>
        <w:t>Domain-model alignment is NOT YET CLOSED.</w:t>
      </w:r>
    </w:p>
    <w:p>
      <w:r>
        <w:rPr>
          <w:b/>
        </w:rPr>
        <w:t xml:space="preserve">• </w:t>
      </w:r>
      <w:r>
        <w:t>ERD update is NOT YET authorized by this review.</w:t>
      </w:r>
    </w:p>
    <w:p>
      <w:r>
        <w:rPr>
          <w:b/>
        </w:rPr>
        <w:t xml:space="preserve">• </w:t>
      </w:r>
      <w:r>
        <w:t>The correct next action is evidence completion: retrieve and inspect the current ERD, API Specification, RBAC/Permission Matrix, and the relevant Commercial/Payment sections of System Architecture, then run a second-pass impact matrix.</w:t>
      </w:r>
    </w:p>
    <w:p>
      <w:r>
        <w:rPr>
          <w:b/>
        </w:rPr>
        <w:t xml:space="preserve">• </w:t>
      </w:r>
      <w:r>
        <w:t>This is intentionally a HOLD on physical/data-model change, not a blocker on the approved architecture itself.</w:t>
      </w:r>
    </w:p>
    <w:p>
      <w:pPr>
        <w:pStyle w:val="Heading1"/>
      </w:pPr>
      <w:r>
        <w:t>9. Lead Decision / Next Step</w:t>
      </w:r>
    </w:p>
    <w:p>
      <w:r>
        <w:rPr>
          <w:b/>
        </w:rPr>
        <w:t xml:space="preserve">• </w:t>
      </w:r>
      <w:r>
        <w:t>I am keeping the project in evidence-first mode.</w:t>
      </w:r>
    </w:p>
    <w:p>
      <w:r>
        <w:rPr>
          <w:b/>
        </w:rPr>
        <w:t xml:space="preserve">• </w:t>
      </w:r>
      <w:r>
        <w:t>Next step: complete the missing current-state evidence pack, then issue Commercial + Payment Domain Model Impact &amp; Alignment Review v1.1.</w:t>
      </w:r>
    </w:p>
    <w:p>
      <w:r>
        <w:rPr>
          <w:b/>
        </w:rPr>
        <w:t xml:space="preserve">• </w:t>
      </w:r>
      <w:r>
        <w:t>Only after that review passes will we decide whether the existing ERD can be synchronized directly, requires a controlled delta, or contains a conflict requiring a new MADCR.</w:t>
      </w:r>
    </w:p>
    <w:p>
      <w:r>
        <w:rPr>
          <w:b/>
        </w:rPr>
        <w:t xml:space="preserve">• </w:t>
      </w:r>
      <w:r>
        <w:t>No new architecture decision is being invented at this stage.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