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MAEDR Batch 1 — Post-Approval Reconciliation</w:t>
      </w:r>
    </w:p>
    <w:p>
      <w:pPr>
        <w:jc w:val="center"/>
      </w:pPr>
      <w:r>
        <w:rPr>
          <w:i/>
          <w:sz w:val="22"/>
        </w:rPr>
        <w:t>RUMAHAGEN Governance Artifact — v1.3</w:t>
      </w:r>
    </w:p>
    <w:p>
      <w:pPr>
        <w:jc w:val="center"/>
      </w:pPr>
      <w:r>
        <w:rPr>
          <w:b/>
        </w:rPr>
        <w:t>UPDATED AFTER ARB-07 / MADCR-011 APPROVAL</w:t>
      </w:r>
    </w:p>
    <w:p>
      <w:pPr>
        <w:pStyle w:val="Heading1"/>
      </w:pPr>
      <w:r>
        <w:t>1. Purpose</w:t>
      </w:r>
    </w:p>
    <w:p>
      <w:pPr>
        <w:spacing w:after="100"/>
      </w:pPr>
      <w:r>
        <w:rPr>
          <w:b/>
        </w:rPr>
        <w:t xml:space="preserve">• </w:t>
      </w:r>
      <w:r>
        <w:t>Memperbarui baseline MAEDR Batch 1 setelah ARB-07 secara formal menyetujui MADCR-011 dengan Option A — Payment sebagai Commercial Subdomain (M14).</w:t>
      </w:r>
    </w:p>
    <w:p>
      <w:pPr>
        <w:spacing w:after="100"/>
      </w:pPr>
      <w:r>
        <w:rPr>
          <w:b/>
        </w:rPr>
        <w:t xml:space="preserve">• </w:t>
      </w:r>
      <w:r>
        <w:t>Reconciliation ini mempertahankan seluruh keputusan APPROVED sebelumnya dan tidak mengotorisasi implementation detail yang belum diputuskan.</w:t>
      </w:r>
    </w:p>
    <w:p>
      <w:pPr>
        <w:pStyle w:val="Heading1"/>
      </w:pPr>
      <w:r>
        <w:t>2. Current Governing Baseline</w:t>
      </w:r>
    </w:p>
    <w:p>
      <w:pPr>
        <w:spacing w:after="100"/>
      </w:pPr>
      <w:r>
        <w:rPr>
          <w:b/>
        </w:rPr>
        <w:t xml:space="preserve">• </w:t>
      </w:r>
      <w:r>
        <w:t>CR-06 — ACTIVE</w:t>
      </w:r>
    </w:p>
    <w:p>
      <w:pPr>
        <w:spacing w:after="100"/>
      </w:pPr>
      <w:r>
        <w:rPr>
          <w:b/>
        </w:rPr>
        <w:t xml:space="preserve">• </w:t>
      </w:r>
      <w:r>
        <w:t>MADCR-036 — APPROVED / GOVERNING</w:t>
      </w:r>
    </w:p>
    <w:p>
      <w:pPr>
        <w:spacing w:after="100"/>
      </w:pPr>
      <w:r>
        <w:rPr>
          <w:b/>
        </w:rPr>
        <w:t xml:space="preserve">• </w:t>
      </w:r>
      <w:r>
        <w:t>MADCR-037 — APPROVED / GOVERNING</w:t>
      </w:r>
    </w:p>
    <w:p>
      <w:pPr>
        <w:spacing w:after="100"/>
      </w:pPr>
      <w:r>
        <w:rPr>
          <w:b/>
        </w:rPr>
        <w:t xml:space="preserve">• </w:t>
      </w:r>
      <w:r>
        <w:t>MADCR-041 — APPROVED / GOVERNING</w:t>
      </w:r>
    </w:p>
    <w:p>
      <w:pPr>
        <w:spacing w:after="100"/>
      </w:pPr>
      <w:r>
        <w:rPr>
          <w:b/>
        </w:rPr>
        <w:t xml:space="preserve">• </w:t>
      </w:r>
      <w:r>
        <w:t>MADCR-046 — APPROVED / GOVERNING</w:t>
      </w:r>
    </w:p>
    <w:p>
      <w:pPr>
        <w:spacing w:after="100"/>
      </w:pPr>
      <w:r>
        <w:rPr>
          <w:b/>
        </w:rPr>
        <w:t xml:space="preserve">• </w:t>
      </w:r>
      <w:r>
        <w:t>MADCR-010 — APPROVED / GOVERNING</w:t>
      </w:r>
    </w:p>
    <w:p>
      <w:pPr>
        <w:spacing w:after="100"/>
      </w:pPr>
      <w:r>
        <w:rPr>
          <w:b/>
        </w:rPr>
        <w:t xml:space="preserve">• </w:t>
      </w:r>
      <w:r>
        <w:t>MADCR-011 — APPROVED / GOVERNING (NEW)</w:t>
      </w:r>
    </w:p>
    <w:p>
      <w:pPr>
        <w:pStyle w:val="Heading1"/>
      </w:pPr>
      <w:r>
        <w:t>3. Updated Batch 1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Current Status</w:t>
            </w:r>
          </w:p>
        </w:tc>
        <w:tc>
          <w:tcPr>
            <w:tcW w:type="dxa" w:w="2160"/>
          </w:tcPr>
          <w:p>
            <w:r>
              <w:t>Effect / Reconciliation</w:t>
            </w:r>
          </w:p>
        </w:tc>
        <w:tc>
          <w:tcPr>
            <w:tcW w:type="dxa" w:w="2160"/>
          </w:tcPr>
          <w:p>
            <w:r>
              <w:t>Next Action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MADCR-036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Unchanged</w:t>
            </w:r>
          </w:p>
        </w:tc>
        <w:tc>
          <w:tcPr>
            <w:tcW w:type="dxa" w:w="2160"/>
            <w:vAlign w:val="top"/>
          </w:tcPr>
          <w:p>
            <w:r>
              <w:t>No reopening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MADCR-037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Unchanged</w:t>
            </w:r>
          </w:p>
        </w:tc>
        <w:tc>
          <w:tcPr>
            <w:tcW w:type="dxa" w:w="2160"/>
            <w:vAlign w:val="top"/>
          </w:tcPr>
          <w:p>
            <w:r>
              <w:t>No reopening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MADCR-041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Unchanged</w:t>
            </w:r>
          </w:p>
        </w:tc>
        <w:tc>
          <w:tcPr>
            <w:tcW w:type="dxa" w:w="2160"/>
            <w:vAlign w:val="top"/>
          </w:tcPr>
          <w:p>
            <w:r>
              <w:t>No reopening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MADCR-046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Unchanged</w:t>
            </w:r>
          </w:p>
        </w:tc>
        <w:tc>
          <w:tcPr>
            <w:tcW w:type="dxa" w:w="2160"/>
            <w:vAlign w:val="top"/>
          </w:tcPr>
          <w:p>
            <w:r>
              <w:t>No reopening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MADCR-010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Unchanged</w:t>
            </w:r>
          </w:p>
        </w:tc>
        <w:tc>
          <w:tcPr>
            <w:tcW w:type="dxa" w:w="2160"/>
            <w:vAlign w:val="top"/>
          </w:tcPr>
          <w:p>
            <w:r>
              <w:t>Option A remains governing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MADCR-011</w:t>
            </w:r>
          </w:p>
        </w:tc>
        <w:tc>
          <w:tcPr>
            <w:tcW w:type="dxa" w:w="2160"/>
            <w:vAlign w:val="top"/>
          </w:tcPr>
          <w:p>
            <w:r>
              <w:t>CLOSED / GOVERNING</w:t>
            </w:r>
          </w:p>
        </w:tc>
        <w:tc>
          <w:tcPr>
            <w:tcW w:type="dxa" w:w="2160"/>
            <w:vAlign w:val="top"/>
          </w:tcPr>
          <w:p>
            <w:r>
              <w:t>ARB-07 approved Option A</w:t>
            </w:r>
          </w:p>
        </w:tc>
        <w:tc>
          <w:tcPr>
            <w:tcW w:type="dxa" w:w="2160"/>
            <w:vAlign w:val="top"/>
          </w:tcPr>
          <w:p>
            <w:r>
              <w:t>ADR-011 is governing baseline</w:t>
            </w:r>
          </w:p>
        </w:tc>
      </w:tr>
      <w:tr>
        <w:tc>
          <w:tcPr>
            <w:tcW w:type="dxa" w:w="2160"/>
            <w:vAlign w:val="top"/>
          </w:tcPr>
          <w:p>
            <w:r>
              <w:t>OPEN-C01 / MADCR-012</w:t>
            </w:r>
          </w:p>
        </w:tc>
        <w:tc>
          <w:tcPr>
            <w:tcW w:type="dxa" w:w="2160"/>
            <w:vAlign w:val="top"/>
          </w:tcPr>
          <w:p>
            <w:r>
              <w:t>OPEN / GOVERNANCE</w:t>
            </w:r>
          </w:p>
        </w:tc>
        <w:tc>
          <w:tcPr>
            <w:tcW w:type="dxa" w:w="2160"/>
            <w:vAlign w:val="top"/>
          </w:tcPr>
          <w:p>
            <w:r>
              <w:t>AEP-MON-001 vs AEP-MON-002 relationship remains unresolved</w:t>
            </w:r>
          </w:p>
        </w:tc>
        <w:tc>
          <w:tcPr>
            <w:tcW w:type="dxa" w:w="2160"/>
            <w:vAlign w:val="top"/>
          </w:tcPr>
          <w:p>
            <w:r>
              <w:t>Clarify through separate governance work</w:t>
            </w:r>
          </w:p>
        </w:tc>
      </w:tr>
      <w:tr>
        <w:tc>
          <w:tcPr>
            <w:tcW w:type="dxa" w:w="2160"/>
            <w:vAlign w:val="top"/>
          </w:tcPr>
          <w:p>
            <w:r>
              <w:t>MADCR-049</w:t>
            </w:r>
          </w:p>
        </w:tc>
        <w:tc>
          <w:tcPr>
            <w:tcW w:type="dxa" w:w="2160"/>
            <w:vAlign w:val="top"/>
          </w:tcPr>
          <w:p>
            <w:r>
              <w:t>OPEN / RE-EVALUATION</w:t>
            </w:r>
          </w:p>
        </w:tc>
        <w:tc>
          <w:tcPr>
            <w:tcW w:type="dxa" w:w="2160"/>
            <w:vAlign w:val="top"/>
          </w:tcPr>
          <w:p>
            <w:r>
              <w:t>Unaffected by MADCR-011</w:t>
            </w:r>
          </w:p>
        </w:tc>
        <w:tc>
          <w:tcPr>
            <w:tcW w:type="dxa" w:w="2160"/>
            <w:vAlign w:val="top"/>
          </w:tcPr>
          <w:p>
            <w:r>
              <w:t>Evidence recovery / review</w:t>
            </w:r>
          </w:p>
        </w:tc>
      </w:tr>
      <w:tr>
        <w:tc>
          <w:tcPr>
            <w:tcW w:type="dxa" w:w="2160"/>
            <w:vAlign w:val="top"/>
          </w:tcPr>
          <w:p>
            <w:r>
              <w:t>DISC-08 / CR-04</w:t>
            </w:r>
          </w:p>
        </w:tc>
        <w:tc>
          <w:tcPr>
            <w:tcW w:type="dxa" w:w="2160"/>
            <w:vAlign w:val="top"/>
          </w:tcPr>
          <w:p>
            <w:r>
              <w:t>OPEN / HYGIENE</w:t>
            </w:r>
          </w:p>
        </w:tc>
        <w:tc>
          <w:tcPr>
            <w:tcW w:type="dxa" w:w="2160"/>
            <w:vAlign w:val="top"/>
          </w:tcPr>
          <w:p>
            <w:r>
              <w:t>Dependency-field canonicalization remains</w:t>
            </w:r>
          </w:p>
        </w:tc>
        <w:tc>
          <w:tcPr>
            <w:tcW w:type="dxa" w:w="2160"/>
            <w:vAlign w:val="top"/>
          </w:tcPr>
          <w:p>
            <w:r>
              <w:t>Governance maintenance</w:t>
            </w:r>
          </w:p>
        </w:tc>
      </w:tr>
    </w:tbl>
    <w:p>
      <w:pPr>
        <w:pStyle w:val="Heading1"/>
      </w:pPr>
      <w:r>
        <w:t>4. MADCR-011 Governing Boundary</w:t>
      </w:r>
    </w:p>
    <w:p>
      <w:pPr>
        <w:spacing w:after="100"/>
      </w:pPr>
      <w:r>
        <w:rPr>
          <w:b/>
        </w:rPr>
        <w:t xml:space="preserve">• </w:t>
      </w:r>
      <w:r>
        <w:t>OPTION A APPROVED: Payment is modeled as a subdomain within Commercial (M14), rather than as a separate logical module (M16).</w:t>
      </w:r>
    </w:p>
    <w:p>
      <w:pPr>
        <w:spacing w:after="100"/>
      </w:pPr>
      <w:r>
        <w:rPr>
          <w:b/>
        </w:rPr>
        <w:t xml:space="preserve">• </w:t>
      </w:r>
      <w:r>
        <w:t>Payment may retain a strong internal architectural boundary, including Payment Core and provider-independent adapter boundaries.</w:t>
      </w:r>
    </w:p>
    <w:p>
      <w:pPr>
        <w:spacing w:after="100"/>
      </w:pPr>
      <w:r>
        <w:rPr>
          <w:b/>
        </w:rPr>
        <w:t xml:space="preserve">• </w:t>
      </w:r>
      <w:r>
        <w:t>Provider-specific implementation remains behind the provider-adapter boundary.</w:t>
      </w:r>
    </w:p>
    <w:p>
      <w:pPr>
        <w:spacing w:after="100"/>
      </w:pPr>
      <w:r>
        <w:rPr>
          <w:b/>
        </w:rPr>
        <w:t xml:space="preserve">• </w:t>
      </w:r>
      <w:r>
        <w:t>M16 is not established as an approved module by MADCR-011.</w:t>
      </w:r>
    </w:p>
    <w:p>
      <w:pPr>
        <w:spacing w:after="100"/>
      </w:pPr>
      <w:r>
        <w:rPr>
          <w:b/>
        </w:rPr>
        <w:t xml:space="preserve">• </w:t>
      </w:r>
      <w:r>
        <w:t>MADCR-011 does not reopen or alter MADCR-010, which remains the governing authority decision for Commercial Entitlement → Agency/Organization Quota Capacity → Operational Quota Pool → Member Allocation/Usage.</w:t>
      </w:r>
    </w:p>
    <w:p>
      <w:pPr>
        <w:pStyle w:val="Heading1"/>
      </w:pPr>
      <w:r>
        <w:t>5. MADCR-011 Decision Boundary / Non-Goals</w:t>
      </w:r>
    </w:p>
    <w:p>
      <w:pPr>
        <w:spacing w:after="100"/>
      </w:pPr>
      <w:r>
        <w:rPr>
          <w:b/>
        </w:rPr>
        <w:t xml:space="preserve">• </w:t>
      </w:r>
      <w:r>
        <w:t>No physical ERD or database schema is approved.</w:t>
      </w:r>
    </w:p>
    <w:p>
      <w:pPr>
        <w:spacing w:after="100"/>
      </w:pPr>
      <w:r>
        <w:rPr>
          <w:b/>
        </w:rPr>
        <w:t xml:space="preserve">• </w:t>
      </w:r>
      <w:r>
        <w:t>No Payment API contract or endpoint design is approved.</w:t>
      </w:r>
    </w:p>
    <w:p>
      <w:pPr>
        <w:spacing w:after="100"/>
      </w:pPr>
      <w:r>
        <w:rPr>
          <w:b/>
        </w:rPr>
        <w:t xml:space="preserve">• </w:t>
      </w:r>
      <w:r>
        <w:t>No webhook implementation is approved.</w:t>
      </w:r>
    </w:p>
    <w:p>
      <w:pPr>
        <w:spacing w:after="100"/>
      </w:pPr>
      <w:r>
        <w:rPr>
          <w:b/>
        </w:rPr>
        <w:t xml:space="preserve">• </w:t>
      </w:r>
      <w:r>
        <w:t>No payment provider/vendor selection is approved.</w:t>
      </w:r>
    </w:p>
    <w:p>
      <w:pPr>
        <w:spacing w:after="100"/>
      </w:pPr>
      <w:r>
        <w:rPr>
          <w:b/>
        </w:rPr>
        <w:t xml:space="preserve">• </w:t>
      </w:r>
      <w:r>
        <w:t>No RBAC/RLS implementation is approved.</w:t>
      </w:r>
    </w:p>
    <w:p>
      <w:pPr>
        <w:spacing w:after="100"/>
      </w:pPr>
      <w:r>
        <w:rPr>
          <w:b/>
        </w:rPr>
        <w:t xml:space="preserve">• </w:t>
      </w:r>
      <w:r>
        <w:t>No migration or database execution is approved.</w:t>
      </w:r>
    </w:p>
    <w:p>
      <w:pPr>
        <w:spacing w:after="100"/>
      </w:pPr>
      <w:r>
        <w:rPr>
          <w:b/>
        </w:rPr>
        <w:t xml:space="preserve">• </w:t>
      </w:r>
      <w:r>
        <w:t>No deployment or microservice boundary is approved.</w:t>
      </w:r>
    </w:p>
    <w:p>
      <w:pPr>
        <w:spacing w:after="100"/>
      </w:pPr>
      <w:r>
        <w:rPr>
          <w:b/>
        </w:rPr>
        <w:t xml:space="preserve">• </w:t>
      </w:r>
      <w:r>
        <w:t>No detailed reconciliation, refund/chargeback, or transaction-state mechanics are approved.</w:t>
      </w:r>
    </w:p>
    <w:p>
      <w:pPr>
        <w:spacing w:after="100"/>
      </w:pPr>
      <w:r>
        <w:rPr>
          <w:b/>
        </w:rPr>
        <w:t xml:space="preserve">• </w:t>
      </w:r>
      <w:r>
        <w:t>No UI implementation is approved.</w:t>
      </w:r>
    </w:p>
    <w:p>
      <w:pPr>
        <w:pStyle w:val="Heading1"/>
      </w:pPr>
      <w:r>
        <w:t>6. OPEN-C01 Reconciliation Position</w:t>
      </w:r>
    </w:p>
    <w:p>
      <w:pPr>
        <w:spacing w:after="100"/>
      </w:pPr>
      <w:r>
        <w:rPr>
          <w:b/>
        </w:rPr>
        <w:t xml:space="preserve">• </w:t>
      </w:r>
      <w:r>
        <w:t>OPEN-C01 remains an evidentiary/document-relationship issue concerning AEP-MON-001 and AEP-MON-002.</w:t>
      </w:r>
    </w:p>
    <w:p>
      <w:pPr>
        <w:spacing w:after="100"/>
      </w:pPr>
      <w:r>
        <w:rPr>
          <w:b/>
        </w:rPr>
        <w:t xml:space="preserve">• </w:t>
      </w:r>
      <w:r>
        <w:t>MADCR-011 approval does not resolve OPEN-C01 and does not establish a formal supersession or hierarchy relationship between those documents.</w:t>
      </w:r>
    </w:p>
    <w:p>
      <w:pPr>
        <w:spacing w:after="100"/>
      </w:pPr>
      <w:r>
        <w:rPr>
          <w:b/>
        </w:rPr>
        <w:t xml:space="preserve">• </w:t>
      </w:r>
      <w:r>
        <w:t>OPEN-C01 does not invalidate MADCR-011 or require reopening the approved Payment placement decision.</w:t>
      </w:r>
    </w:p>
    <w:p>
      <w:pPr>
        <w:pStyle w:val="Heading1"/>
      </w:pPr>
      <w:r>
        <w:t>7. Downstream Dependency Position</w:t>
      </w:r>
    </w:p>
    <w:p>
      <w:pPr>
        <w:spacing w:after="100"/>
      </w:pPr>
      <w:r>
        <w:rPr>
          <w:b/>
        </w:rPr>
        <w:t xml:space="preserve">• </w:t>
      </w:r>
      <w:r>
        <w:t>MADCR-011 is now the governing Payment placement boundary.</w:t>
      </w:r>
    </w:p>
    <w:p>
      <w:pPr>
        <w:spacing w:after="100"/>
      </w:pPr>
      <w:r>
        <w:rPr>
          <w:b/>
        </w:rPr>
        <w:t xml:space="preserve">• </w:t>
      </w:r>
      <w:r>
        <w:t>Downstream Payment architecture decisions may now proceed within the approved M14 Payment boundary.</w:t>
      </w:r>
    </w:p>
    <w:p>
      <w:pPr>
        <w:spacing w:after="100"/>
      </w:pPr>
      <w:r>
        <w:rPr>
          <w:b/>
        </w:rPr>
        <w:t xml:space="preserve">• </w:t>
      </w:r>
      <w:r>
        <w:t>MADCR-002 and MADCR-003 are downstream decisions from MADCR-011.</w:t>
      </w:r>
    </w:p>
    <w:p>
      <w:pPr>
        <w:spacing w:after="100"/>
      </w:pPr>
      <w:r>
        <w:rPr>
          <w:b/>
        </w:rPr>
        <w:t xml:space="preserve">• </w:t>
      </w:r>
      <w:r>
        <w:t>MADCR-053 and MADCR-055 may consume the approved Payment ownership boundary for subsequent security and Commercial administration decisions.</w:t>
      </w:r>
    </w:p>
    <w:p>
      <w:pPr>
        <w:spacing w:after="100"/>
      </w:pPr>
      <w:r>
        <w:rPr>
          <w:b/>
        </w:rPr>
        <w:t xml:space="preserve">• </w:t>
      </w:r>
      <w:r>
        <w:t>Downstream ERD → API → RBAC/RLS → migration → implementation must remain consistent with the approved ADR-011 boundary.</w:t>
      </w:r>
    </w:p>
    <w:p>
      <w:pPr>
        <w:pStyle w:val="Heading1"/>
      </w:pPr>
      <w:r>
        <w:t>8. Governance Rules Applied</w:t>
      </w:r>
    </w:p>
    <w:p>
      <w:pPr>
        <w:spacing w:after="100"/>
      </w:pPr>
      <w:r>
        <w:rPr>
          <w:b/>
        </w:rPr>
        <w:t xml:space="preserve">• </w:t>
      </w:r>
      <w:r>
        <w:t>An approved governing decision is not reopened by reconciliation.</w:t>
      </w:r>
    </w:p>
    <w:p>
      <w:pPr>
        <w:spacing w:after="100"/>
      </w:pPr>
      <w:r>
        <w:rPr>
          <w:b/>
        </w:rPr>
        <w:t xml:space="preserve">• </w:t>
      </w:r>
      <w:r>
        <w:t>New evidence may change readiness or dependency status, but does not silently change an approved decision.</w:t>
      </w:r>
    </w:p>
    <w:p>
      <w:pPr>
        <w:spacing w:after="100"/>
      </w:pPr>
      <w:r>
        <w:rPr>
          <w:b/>
        </w:rPr>
        <w:t xml:space="preserve">• </w:t>
      </w:r>
      <w:r>
        <w:t>Approved architecture decisions authorize only their explicit decision boundaries.</w:t>
      </w:r>
    </w:p>
    <w:p>
      <w:pPr>
        <w:spacing w:after="100"/>
      </w:pPr>
      <w:r>
        <w:rPr>
          <w:b/>
        </w:rPr>
        <w:t xml:space="preserve">• </w:t>
      </w:r>
      <w:r>
        <w:t>ERD, API, RBAC/RLS, database, migration, Supabase, Bolt, and implementation remain downstream unless separately authorized by the applicable governance decision.</w:t>
      </w:r>
    </w:p>
    <w:p>
      <w:pPr>
        <w:spacing w:after="100"/>
      </w:pPr>
      <w:r>
        <w:rPr>
          <w:b/>
        </w:rPr>
        <w:t xml:space="preserve">• </w:t>
      </w:r>
      <w:r>
        <w:t>OPEN-C01, MADCR-049, and dependency-hygiene items remain separate governance work and are not silently closed by this reconciliation.</w:t>
      </w:r>
    </w:p>
    <w:p>
      <w:pPr>
        <w:pStyle w:val="Heading1"/>
      </w:pPr>
      <w:r>
        <w:t>9. Implementation Gate</w:t>
      </w:r>
    </w:p>
    <w:p>
      <w:pPr>
        <w:spacing w:after="100"/>
      </w:pPr>
      <w:r>
        <w:rPr>
          <w:b/>
        </w:rPr>
        <w:t xml:space="preserve">• </w:t>
      </w:r>
      <w:r>
        <w:t>No ERD, API, RBAC/RLS, database, migration, Supabase, Bolt, or other implementation work is authorized solely by this reconciliation.</w:t>
      </w:r>
    </w:p>
    <w:p>
      <w:pPr>
        <w:spacing w:after="100"/>
      </w:pPr>
      <w:r>
        <w:rPr>
          <w:b/>
        </w:rPr>
        <w:t xml:space="preserve">• </w:t>
      </w:r>
      <w:r>
        <w:t>Approved decisions may be consumed by downstream design only within their explicit decision boundaries.</w:t>
      </w:r>
    </w:p>
    <w:p>
      <w:pPr>
        <w:pStyle w:val="Heading1"/>
      </w:pPr>
      <w:r>
        <w:t>10. Final Reconciliation Statement</w:t>
      </w:r>
    </w:p>
    <w:p>
      <w:pPr>
        <w:spacing w:after="100"/>
      </w:pPr>
      <w:r>
        <w:rPr>
          <w:b/>
        </w:rPr>
        <w:t xml:space="preserve">• </w:t>
      </w:r>
      <w:r>
        <w:t>MAEDR Batch 1 is now governed by the approved baseline through MADCR-011.</w:t>
      </w:r>
    </w:p>
    <w:p>
      <w:pPr>
        <w:spacing w:after="100"/>
      </w:pPr>
      <w:r>
        <w:rPr>
          <w:b/>
        </w:rPr>
        <w:t xml:space="preserve">• </w:t>
      </w:r>
      <w:r>
        <w:t>ARB-07 closes MADCR-011 as a Gate-1 architecture decision and establishes Option A as governing.</w:t>
      </w:r>
    </w:p>
    <w:p>
      <w:pPr>
        <w:spacing w:after="100"/>
      </w:pPr>
      <w:r>
        <w:rPr>
          <w:b/>
        </w:rPr>
        <w:t xml:space="preserve">• </w:t>
      </w:r>
      <w:r>
        <w:t>No previously approved architecture decision is reopened.</w:t>
      </w:r>
    </w:p>
    <w:p>
      <w:pPr>
        <w:spacing w:after="100"/>
      </w:pPr>
      <w:r>
        <w:rPr>
          <w:b/>
        </w:rPr>
        <w:t xml:space="preserve">• </w:t>
      </w:r>
      <w:r>
        <w:t>OPEN-C01 / MADCR-012, MADCR-049, and DISC-08 / CR-04 remain unresolved governance items.</w:t>
      </w:r>
    </w:p>
    <w:p>
      <w:pPr>
        <w:spacing w:after="100"/>
      </w:pPr>
      <w:r>
        <w:rPr>
          <w:b/>
        </w:rPr>
        <w:t xml:space="preserve">• </w:t>
      </w:r>
      <w:r>
        <w:t>The next substantive downstream architecture work may proceed from the approved Payment boundary, beginning with the applicable MADCR-002 / MADCR-003 evidence and readiness review.</w:t>
      </w:r>
    </w:p>
    <w:p>
      <w:pPr>
        <w:pStyle w:val="Heading1"/>
      </w:pPr>
      <w:r>
        <w:t>11. Approval / Reconciliation Record</w:t>
      </w:r>
    </w:p>
    <w:p>
      <w:pPr>
        <w:spacing w:after="100"/>
      </w:pPr>
      <w:r>
        <w:rPr>
          <w:b/>
        </w:rPr>
        <w:t xml:space="preserve">• </w:t>
      </w:r>
      <w:r>
        <w:t>Reconciliation version: v1.3</w:t>
      </w:r>
    </w:p>
    <w:p>
      <w:pPr>
        <w:spacing w:after="100"/>
      </w:pPr>
      <w:r>
        <w:rPr>
          <w:b/>
        </w:rPr>
        <w:t xml:space="preserve">• </w:t>
      </w:r>
      <w:r>
        <w:t>Trigger: ARB-07 / MADCR-011 formal approval</w:t>
      </w:r>
    </w:p>
    <w:p>
      <w:pPr>
        <w:spacing w:after="100"/>
      </w:pPr>
      <w:r>
        <w:rPr>
          <w:b/>
        </w:rPr>
        <w:t xml:space="preserve">• </w:t>
      </w:r>
      <w:r>
        <w:t>Result: MADCR-011 moved from OPEN to CLOSED / GOVERNING</w:t>
      </w:r>
    </w:p>
    <w:p>
      <w:pPr>
        <w:spacing w:after="100"/>
      </w:pPr>
      <w:r>
        <w:rPr>
          <w:b/>
        </w:rPr>
        <w:t xml:space="preserve">• </w:t>
      </w:r>
      <w:r>
        <w:t>ADR-011: Final / Governing Decision</w:t>
      </w:r>
    </w:p>
    <w:p>
      <w:pPr>
        <w:spacing w:after="100"/>
      </w:pPr>
      <w:r>
        <w:rPr>
          <w:b/>
        </w:rPr>
        <w:t xml:space="preserve">• </w:t>
      </w:r>
      <w:r>
        <w:t>Implementation authorization: NOT GRANTED by this reconciliation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