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MAEDR Batch 2 — Post-Approval Reconciliation</w:t>
      </w:r>
    </w:p>
    <w:p>
      <w:pPr>
        <w:jc w:val="center"/>
      </w:pPr>
      <w:r>
        <w:rPr>
          <w:i/>
          <w:sz w:val="22"/>
        </w:rPr>
        <w:t>RUMAHAGEN Governance Artifact — v1.0</w:t>
      </w:r>
    </w:p>
    <w:p>
      <w:pPr>
        <w:jc w:val="center"/>
      </w:pPr>
      <w:r>
        <w:rPr>
          <w:b/>
        </w:rPr>
        <w:t>UPDATED AFTER ARB-08 / MADCR-002 APPROVAL</w:t>
      </w:r>
    </w:p>
    <w:p>
      <w:pPr>
        <w:pStyle w:val="Heading1"/>
      </w:pPr>
      <w:r>
        <w:t>1. Purpose</w:t>
      </w:r>
    </w:p>
    <w:p>
      <w:r>
        <w:t>This reconciliation records the formal ARB-08 approval of MADCR-002 and establishes the current Batch-2 downstream Payment architecture baseline.</w:t>
      </w:r>
    </w:p>
    <w:p>
      <w:r>
        <w:t>It does not modify the Batch-1 Gate-1 baseline and does not authorize downstream implementation details.</w:t>
      </w:r>
    </w:p>
    <w:p>
      <w:pPr>
        <w:pStyle w:val="Heading1"/>
      </w:pPr>
      <w:r>
        <w:t>2. Governing Prerequisites</w:t>
      </w:r>
    </w:p>
    <w:p>
      <w:pPr>
        <w:spacing w:after="80"/>
      </w:pPr>
      <w:r>
        <w:rPr>
          <w:b/>
        </w:rPr>
        <w:t xml:space="preserve">• </w:t>
      </w:r>
      <w:r>
        <w:t>MADCR-011 — APPROVED / GOVERNING: Payment is a Commercial (M14) subdomain.</w:t>
      </w:r>
    </w:p>
    <w:p>
      <w:pPr>
        <w:spacing w:after="80"/>
      </w:pPr>
      <w:r>
        <w:rPr>
          <w:b/>
        </w:rPr>
        <w:t xml:space="preserve">• </w:t>
      </w:r>
      <w:r>
        <w:t>ADR-011 — FINAL / GOVERNING: Payment ownership remains within M14 and includes an internal Payment boundary.</w:t>
      </w:r>
    </w:p>
    <w:p>
      <w:pPr>
        <w:spacing w:after="80"/>
      </w:pPr>
      <w:r>
        <w:rPr>
          <w:b/>
        </w:rPr>
        <w:t xml:space="preserve">• </w:t>
      </w:r>
      <w:r>
        <w:t>MADCR-010 — APPROVED / GOVERNING: Commercial Entitlement remains authoritative for Agency/Organization quota capacity.</w:t>
      </w:r>
    </w:p>
    <w:p>
      <w:pPr>
        <w:pStyle w:val="Heading1"/>
      </w:pPr>
      <w:r>
        <w:t>3. Batch-2 Decision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Reconciliation Result</w:t>
            </w:r>
          </w:p>
        </w:tc>
        <w:tc>
          <w:tcPr>
            <w:tcW w:type="dxa" w:w="2160"/>
          </w:tcPr>
          <w:p>
            <w:r>
              <w:t>Next Action</w:t>
            </w:r>
          </w:p>
        </w:tc>
      </w:tr>
      <w:tr>
        <w:tc>
          <w:tcPr>
            <w:tcW w:type="dxa" w:w="2160"/>
            <w:vAlign w:val="top"/>
          </w:tcPr>
          <w:p>
            <w:r>
              <w:t>MADCR-002</w:t>
            </w:r>
          </w:p>
        </w:tc>
        <w:tc>
          <w:tcPr>
            <w:tcW w:type="dxa" w:w="2160"/>
            <w:vAlign w:val="top"/>
          </w:tcPr>
          <w:p>
            <w:r>
              <w:t>CLOSED / GOVERNING</w:t>
            </w:r>
          </w:p>
        </w:tc>
        <w:tc>
          <w:tcPr>
            <w:tcW w:type="dxa" w:w="2160"/>
            <w:vAlign w:val="top"/>
          </w:tcPr>
          <w:p>
            <w:r>
              <w:t>ARB-08 approved Provider Adapter Architecture</w:t>
            </w:r>
          </w:p>
        </w:tc>
        <w:tc>
          <w:tcPr>
            <w:tcW w:type="dxa" w:w="2160"/>
            <w:vAlign w:val="top"/>
          </w:tcPr>
          <w:p>
            <w:r>
              <w:t>Consume in downstream design</w:t>
            </w:r>
          </w:p>
        </w:tc>
      </w:tr>
      <w:tr>
        <w:tc>
          <w:tcPr>
            <w:tcW w:type="dxa" w:w="2160"/>
            <w:vAlign w:val="top"/>
          </w:tcPr>
          <w:p>
            <w:r>
              <w:t>MADCR-003</w:t>
            </w:r>
          </w:p>
        </w:tc>
        <w:tc>
          <w:tcPr>
            <w:tcW w:type="dxa" w:w="2160"/>
            <w:vAlign w:val="top"/>
          </w:tcPr>
          <w:p>
            <w:r>
              <w:t>OPEN / DOWNSTREAM</w:t>
            </w:r>
          </w:p>
        </w:tc>
        <w:tc>
          <w:tcPr>
            <w:tcW w:type="dxa" w:w="2160"/>
            <w:vAlign w:val="top"/>
          </w:tcPr>
          <w:p>
            <w:r>
              <w:t>Now unblocked by MADCR-002; remains separate verification/idempotency decision</w:t>
            </w:r>
          </w:p>
        </w:tc>
        <w:tc>
          <w:tcPr>
            <w:tcW w:type="dxa" w:w="2160"/>
            <w:vAlign w:val="top"/>
          </w:tcPr>
          <w:p>
            <w:r>
              <w:t>Evidence/readiness review</w:t>
            </w:r>
          </w:p>
        </w:tc>
      </w:tr>
      <w:tr>
        <w:tc>
          <w:tcPr>
            <w:tcW w:type="dxa" w:w="2160"/>
            <w:vAlign w:val="top"/>
          </w:tcPr>
          <w:p>
            <w:r>
              <w:t>MADCR-005</w:t>
            </w:r>
          </w:p>
        </w:tc>
        <w:tc>
          <w:tcPr>
            <w:tcW w:type="dxa" w:w="2160"/>
            <w:vAlign w:val="top"/>
          </w:tcPr>
          <w:p>
            <w:r>
              <w:t>OPEN / DOWNSTREAM</w:t>
            </w:r>
          </w:p>
        </w:tc>
        <w:tc>
          <w:tcPr>
            <w:tcW w:type="dxa" w:w="2160"/>
            <w:vAlign w:val="top"/>
          </w:tcPr>
          <w:p>
            <w:r>
              <w:t>Unaffected except that Payment adapter boundary is now governing</w:t>
            </w:r>
          </w:p>
        </w:tc>
        <w:tc>
          <w:tcPr>
            <w:tcW w:type="dxa" w:w="2160"/>
            <w:vAlign w:val="top"/>
          </w:tcPr>
          <w:p>
            <w:r>
              <w:t>Proceed according to dependency</w:t>
            </w:r>
          </w:p>
        </w:tc>
      </w:tr>
      <w:tr>
        <w:tc>
          <w:tcPr>
            <w:tcW w:type="dxa" w:w="2160"/>
            <w:vAlign w:val="top"/>
          </w:tcPr>
          <w:p>
            <w:r>
              <w:t>MADCR-058</w:t>
            </w:r>
          </w:p>
        </w:tc>
        <w:tc>
          <w:tcPr>
            <w:tcW w:type="dxa" w:w="2160"/>
            <w:vAlign w:val="top"/>
          </w:tcPr>
          <w:p>
            <w:r>
              <w:t>OPEN / RESEARCH</w:t>
            </w:r>
          </w:p>
        </w:tc>
        <w:tc>
          <w:tcPr>
            <w:tcW w:type="dxa" w:w="2160"/>
            <w:vAlign w:val="top"/>
          </w:tcPr>
          <w:p>
            <w:r>
              <w:t>Vendor selection remains separate from adapter architecture</w:t>
            </w:r>
          </w:p>
        </w:tc>
        <w:tc>
          <w:tcPr>
            <w:tcW w:type="dxa" w:w="2160"/>
            <w:vAlign w:val="top"/>
          </w:tcPr>
          <w:p>
            <w:r>
              <w:t>Independent vendor research</w:t>
            </w:r>
          </w:p>
        </w:tc>
      </w:tr>
      <w:tr>
        <w:tc>
          <w:tcPr>
            <w:tcW w:type="dxa" w:w="2160"/>
            <w:vAlign w:val="top"/>
          </w:tcPr>
          <w:p>
            <w:r>
              <w:t>OPEN-C01 / MADCR-012</w:t>
            </w:r>
          </w:p>
        </w:tc>
        <w:tc>
          <w:tcPr>
            <w:tcW w:type="dxa" w:w="2160"/>
            <w:vAlign w:val="top"/>
          </w:tcPr>
          <w:p>
            <w:r>
              <w:t>OPEN / GOVERNANCE</w:t>
            </w:r>
          </w:p>
        </w:tc>
        <w:tc>
          <w:tcPr>
            <w:tcW w:type="dxa" w:w="2160"/>
            <w:vAlign w:val="top"/>
          </w:tcPr>
          <w:p>
            <w:r>
              <w:t>Not resolved by MADCR-002</w:t>
            </w:r>
          </w:p>
        </w:tc>
        <w:tc>
          <w:tcPr>
            <w:tcW w:type="dxa" w:w="2160"/>
            <w:vAlign w:val="top"/>
          </w:tcPr>
          <w:p>
            <w:r>
              <w:t>Separate governance work</w:t>
            </w:r>
          </w:p>
        </w:tc>
      </w:tr>
      <w:tr>
        <w:tc>
          <w:tcPr>
            <w:tcW w:type="dxa" w:w="2160"/>
            <w:vAlign w:val="top"/>
          </w:tcPr>
          <w:p>
            <w:r>
              <w:t>MADCR-049</w:t>
            </w:r>
          </w:p>
        </w:tc>
        <w:tc>
          <w:tcPr>
            <w:tcW w:type="dxa" w:w="2160"/>
            <w:vAlign w:val="top"/>
          </w:tcPr>
          <w:p>
            <w:r>
              <w:t>OPEN / RE-EVALUATION</w:t>
            </w:r>
          </w:p>
        </w:tc>
        <w:tc>
          <w:tcPr>
            <w:tcW w:type="dxa" w:w="2160"/>
            <w:vAlign w:val="top"/>
          </w:tcPr>
          <w:p>
            <w:r>
              <w:t>Unaffected</w:t>
            </w:r>
          </w:p>
        </w:tc>
        <w:tc>
          <w:tcPr>
            <w:tcW w:type="dxa" w:w="2160"/>
            <w:vAlign w:val="top"/>
          </w:tcPr>
          <w:p>
            <w:r>
              <w:t>Evidence recovery/review</w:t>
            </w:r>
          </w:p>
        </w:tc>
      </w:tr>
      <w:tr>
        <w:tc>
          <w:tcPr>
            <w:tcW w:type="dxa" w:w="2160"/>
            <w:vAlign w:val="top"/>
          </w:tcPr>
          <w:p>
            <w:r>
              <w:t>DISC-08 / CR-04</w:t>
            </w:r>
          </w:p>
        </w:tc>
        <w:tc>
          <w:tcPr>
            <w:tcW w:type="dxa" w:w="2160"/>
            <w:vAlign w:val="top"/>
          </w:tcPr>
          <w:p>
            <w:r>
              <w:t>OPEN / HYGIENE</w:t>
            </w:r>
          </w:p>
        </w:tc>
        <w:tc>
          <w:tcPr>
            <w:tcW w:type="dxa" w:w="2160"/>
            <w:vAlign w:val="top"/>
          </w:tcPr>
          <w:p>
            <w:r>
              <w:t>Dependency-field canonicalization remains</w:t>
            </w:r>
          </w:p>
        </w:tc>
        <w:tc>
          <w:tcPr>
            <w:tcW w:type="dxa" w:w="2160"/>
            <w:vAlign w:val="top"/>
          </w:tcPr>
          <w:p>
            <w:r>
              <w:t>Governance maintenance</w:t>
            </w:r>
          </w:p>
        </w:tc>
      </w:tr>
    </w:tbl>
    <w:p>
      <w:pPr>
        <w:pStyle w:val="Heading1"/>
      </w:pPr>
      <w:r>
        <w:t>4. MADCR-002 Governing Boundary</w:t>
      </w:r>
    </w:p>
    <w:p>
      <w:pPr>
        <w:spacing w:after="80"/>
      </w:pPr>
      <w:r>
        <w:rPr>
          <w:b/>
        </w:rPr>
        <w:t xml:space="preserve">• </w:t>
      </w:r>
      <w:r>
        <w:t>Provider Adapter Architecture is governing for Payment Gateway integrations within M14 Payment Subdomain.</w:t>
      </w:r>
    </w:p>
    <w:p>
      <w:pPr>
        <w:spacing w:after="80"/>
      </w:pPr>
      <w:r>
        <w:rPr>
          <w:b/>
        </w:rPr>
        <w:t xml:space="preserve">• </w:t>
      </w:r>
      <w:r>
        <w:t>Payment Core SHALL remain provider-independent.</w:t>
      </w:r>
    </w:p>
    <w:p>
      <w:pPr>
        <w:spacing w:after="80"/>
      </w:pPr>
      <w:r>
        <w:rPr>
          <w:b/>
        </w:rPr>
        <w:t xml:space="preserve">• </w:t>
      </w:r>
      <w:r>
        <w:t>Provider-specific integration SHALL remain behind the Provider Adapter Boundary.</w:t>
      </w:r>
    </w:p>
    <w:p>
      <w:pPr>
        <w:spacing w:after="80"/>
      </w:pPr>
      <w:r>
        <w:rPr>
          <w:b/>
        </w:rPr>
        <w:t xml:space="preserve">• </w:t>
      </w:r>
      <w:r>
        <w:t>Provider replacement must not require fundamental coupling of Payment Core to a single provider.</w:t>
      </w:r>
    </w:p>
    <w:p>
      <w:pPr>
        <w:spacing w:after="80"/>
      </w:pPr>
      <w:r>
        <w:rPr>
          <w:b/>
        </w:rPr>
        <w:t xml:space="preserve">• </w:t>
      </w:r>
      <w:r>
        <w:t>M16 is not introduced by this decision.</w:t>
      </w:r>
    </w:p>
    <w:p>
      <w:pPr>
        <w:pStyle w:val="Heading1"/>
      </w:pPr>
      <w:r>
        <w:t>5. Decision Split / Downstream Boundaries</w:t>
      </w:r>
    </w:p>
    <w:p>
      <w:pPr>
        <w:spacing w:after="80"/>
      </w:pPr>
      <w:r>
        <w:rPr>
          <w:b/>
        </w:rPr>
        <w:t xml:space="preserve">• </w:t>
      </w:r>
      <w:r>
        <w:t>MADCR-002 governs adapter/integration architecture.</w:t>
      </w:r>
    </w:p>
    <w:p>
      <w:pPr>
        <w:spacing w:after="80"/>
      </w:pPr>
      <w:r>
        <w:rPr>
          <w:b/>
        </w:rPr>
        <w:t xml:space="preserve">• </w:t>
      </w:r>
      <w:r>
        <w:t>MADCR-003 governs verification/idempotency architecture and is not absorbed into MADCR-002.</w:t>
      </w:r>
    </w:p>
    <w:p>
      <w:pPr>
        <w:spacing w:after="80"/>
      </w:pPr>
      <w:r>
        <w:rPr>
          <w:b/>
        </w:rPr>
        <w:t xml:space="preserve">• </w:t>
      </w:r>
      <w:r>
        <w:t>MADCR-005 governs reconciliation capability and is not absorbed into MADCR-002.</w:t>
      </w:r>
    </w:p>
    <w:p>
      <w:pPr>
        <w:spacing w:after="80"/>
      </w:pPr>
      <w:r>
        <w:rPr>
          <w:b/>
        </w:rPr>
        <w:t xml:space="preserve">• </w:t>
      </w:r>
      <w:r>
        <w:t>MADCR-058 handles vendor/provider selection and is not absorbed into MADCR-002.</w:t>
      </w:r>
    </w:p>
    <w:p>
      <w:pPr>
        <w:spacing w:after="80"/>
      </w:pPr>
      <w:r>
        <w:rPr>
          <w:b/>
        </w:rPr>
        <w:t xml:space="preserve">• </w:t>
      </w:r>
      <w:r>
        <w:t>ERD → API → RBAC/RLS → migration → implementation remain downstream.</w:t>
      </w:r>
    </w:p>
    <w:p>
      <w:pPr>
        <w:pStyle w:val="Heading1"/>
      </w:pPr>
      <w:r>
        <w:t>6. Batch-1 Relationship</w:t>
      </w:r>
    </w:p>
    <w:p>
      <w:pPr>
        <w:spacing w:after="80"/>
      </w:pPr>
      <w:r>
        <w:rPr>
          <w:b/>
        </w:rPr>
        <w:t xml:space="preserve">• </w:t>
      </w:r>
      <w:r>
        <w:t>Batch-1 Gate-1 baseline remains complete through MADCR-011.</w:t>
      </w:r>
    </w:p>
    <w:p>
      <w:pPr>
        <w:spacing w:after="80"/>
      </w:pPr>
      <w:r>
        <w:rPr>
          <w:b/>
        </w:rPr>
        <w:t xml:space="preserve">• </w:t>
      </w:r>
      <w:r>
        <w:t>MAEDR Batch-1 v1.3 remains the governing Batch-1 reconciliation artifact; this Batch-2 reconciliation does not replace or retroactively modify it.</w:t>
      </w:r>
    </w:p>
    <w:p>
      <w:pPr>
        <w:spacing w:after="80"/>
      </w:pPr>
      <w:r>
        <w:rPr>
          <w:b/>
        </w:rPr>
        <w:t xml:space="preserve">• </w:t>
      </w:r>
      <w:r>
        <w:t>Residual Batch-1 governance items — OPEN-C01 / MADCR-012, MADCR-049, and DISC-08 / CR-04 — remain open and non-silently unresolved.</w:t>
      </w:r>
    </w:p>
    <w:p>
      <w:pPr>
        <w:pStyle w:val="Heading1"/>
      </w:pPr>
      <w:r>
        <w:t>7. Implementation Gate</w:t>
      </w:r>
    </w:p>
    <w:p>
      <w:pPr>
        <w:spacing w:after="80"/>
      </w:pPr>
      <w:r>
        <w:rPr>
          <w:b/>
        </w:rPr>
        <w:t xml:space="preserve">• </w:t>
      </w:r>
      <w:r>
        <w:t>No ERD, database schema, API contract, RBAC/RLS, migration, Supabase, Bolt, deployment, or implementation work is authorized solely by this reconciliation.</w:t>
      </w:r>
    </w:p>
    <w:p>
      <w:pPr>
        <w:spacing w:after="80"/>
      </w:pPr>
      <w:r>
        <w:rPr>
          <w:b/>
        </w:rPr>
        <w:t xml:space="preserve">• </w:t>
      </w:r>
      <w:r>
        <w:t>Approved decisions may be consumed only within their explicit decision boundaries.</w:t>
      </w:r>
    </w:p>
    <w:p>
      <w:pPr>
        <w:pStyle w:val="Heading1"/>
      </w:pPr>
      <w:r>
        <w:t>8. Final Reconciliation Statement</w:t>
      </w:r>
    </w:p>
    <w:p>
      <w:r>
        <w:t>ARB-08 closes MADCR-002 as an APPROVED / GOVERNING downstream architecture decision.</w:t>
      </w:r>
    </w:p>
    <w:p>
      <w:r>
        <w:t>The governing Payment architecture chain now includes: MADCR-011 Payment Placement → MADCR-002 Provider Adapter Architecture.</w:t>
      </w:r>
    </w:p>
    <w:p>
      <w:r>
        <w:t>MADCR-003 remains the next substantive Payment architecture decision in the dependency chain.</w:t>
      </w:r>
    </w:p>
    <w:p>
      <w:r>
        <w:t>No previously approved decision is reopened.</w:t>
      </w:r>
    </w:p>
    <w:p>
      <w:r>
        <w:t>Residual governance work remains separately tracked.</w:t>
      </w:r>
    </w:p>
    <w:p>
      <w:pPr>
        <w:pStyle w:val="Heading1"/>
      </w:pPr>
      <w:r>
        <w:t>9. Reconciliation Record</w:t>
      </w:r>
    </w:p>
    <w:p>
      <w:pPr>
        <w:spacing w:after="80"/>
      </w:pPr>
      <w:r>
        <w:rPr>
          <w:b/>
        </w:rPr>
        <w:t xml:space="preserve">• </w:t>
      </w:r>
      <w:r>
        <w:t>Reconciliation version: v1.0</w:t>
      </w:r>
    </w:p>
    <w:p>
      <w:pPr>
        <w:spacing w:after="80"/>
      </w:pPr>
      <w:r>
        <w:rPr>
          <w:b/>
        </w:rPr>
        <w:t xml:space="preserve">• </w:t>
      </w:r>
      <w:r>
        <w:t>Trigger: ARB-08 / MADCR-002 formal approval</w:t>
      </w:r>
    </w:p>
    <w:p>
      <w:pPr>
        <w:spacing w:after="80"/>
      </w:pPr>
      <w:r>
        <w:rPr>
          <w:b/>
        </w:rPr>
        <w:t xml:space="preserve">• </w:t>
      </w:r>
      <w:r>
        <w:t>Result: MADCR-002 moved to CLOSED / GOVERNING</w:t>
      </w:r>
    </w:p>
    <w:p>
      <w:pPr>
        <w:spacing w:after="80"/>
      </w:pPr>
      <w:r>
        <w:rPr>
          <w:b/>
        </w:rPr>
        <w:t xml:space="preserve">• </w:t>
      </w:r>
      <w:r>
        <w:t>ADR-002: Final / Governing Decision</w:t>
      </w:r>
    </w:p>
    <w:p>
      <w:pPr>
        <w:spacing w:after="80"/>
      </w:pPr>
      <w:r>
        <w:rPr>
          <w:b/>
        </w:rPr>
        <w:t xml:space="preserve">• </w:t>
      </w:r>
      <w:r>
        <w:t>Implementation authorization: NOT GRANTED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